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pStyle w:val="Style2"/>
        <w:keepNext w:val="0"/>
        <w:keepLines w:val="0"/>
        <w:widowControl w:val="0"/>
        <w:shd w:val="clear" w:color="auto" w:fill="auto"/>
        <w:bidi w:val="0"/>
        <w:spacing w:before="0" w:after="180" w:line="26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4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1о77@Га8.2ОУ.ги</w:t>
      </w:r>
    </w:p>
    <w:p>
      <w:pPr>
        <w:pStyle w:val="Style6"/>
        <w:keepNext/>
        <w:keepLines/>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09.11.2023</w:t>
        <w:tab/>
      </w:r>
      <w:r>
        <w:fldChar w:fldCharType="end"/>
      </w:r>
      <w:r>
        <w:rPr>
          <w:color w:val="000000"/>
          <w:spacing w:val="0"/>
          <w:w w:val="100"/>
          <w:position w:val="0"/>
          <w:shd w:val="clear" w:color="auto" w:fill="auto"/>
          <w:lang w:val="ru-RU" w:eastAsia="ru-RU" w:bidi="ru-RU"/>
        </w:rPr>
        <w:t>№ 47812/23</w:t>
      </w:r>
      <w:bookmarkEnd w:id="0"/>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  от</w:t>
      </w:r>
    </w:p>
    <w:p>
      <w:pPr>
        <w:pStyle w:val="Style8"/>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Департамент развития новых территорий г. Москвы</w:t>
      </w:r>
    </w:p>
    <w:p>
      <w:pPr>
        <w:pStyle w:val="Style8"/>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4гп1;-хакирИ@то8.ги</w:t>
      </w:r>
    </w:p>
    <w:p>
      <w:pPr>
        <w:pStyle w:val="Style8"/>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ООО «Елецгеоизыскания»</w:t>
      </w:r>
    </w:p>
    <w:p>
      <w:pPr>
        <w:pStyle w:val="Style8"/>
        <w:keepNext w:val="0"/>
        <w:keepLines w:val="0"/>
        <w:widowControl w:val="0"/>
        <w:shd w:val="clear" w:color="auto" w:fill="auto"/>
        <w:bidi w:val="0"/>
        <w:spacing w:before="0" w:after="0" w:line="240" w:lineRule="auto"/>
        <w:ind w:left="0" w:right="0" w:firstLine="0"/>
        <w:jc w:val="left"/>
        <w:sectPr>
          <w:headerReference w:type="default" r:id="rId7"/>
          <w:headerReference w:type="first" r:id="rId8"/>
          <w:footnotePr>
            <w:pos w:val="pageBottom"/>
            <w:numFmt w:val="decimal"/>
            <w:numRestart w:val="continuous"/>
          </w:footnotePr>
          <w:pgSz w:w="11900" w:h="16840"/>
          <w:pgMar w:top="289" w:right="1904" w:bottom="305" w:left="1144" w:header="0" w:footer="3" w:gutter="0"/>
          <w:pgNumType w:start="1"/>
          <w:cols w:num="2" w:space="720" w:equalWidth="0">
            <w:col w:w="4061" w:space="1200"/>
            <w:col w:w="3590"/>
          </w:cols>
          <w:noEndnote/>
          <w:titlePg/>
          <w:rtlGutter w:val="0"/>
          <w:docGrid w:linePitch="360"/>
        </w:sectPr>
      </w:pPr>
      <w:r>
        <w:rPr>
          <w:color w:val="000000"/>
          <w:spacing w:val="0"/>
          <w:w w:val="100"/>
          <w:position w:val="0"/>
          <w:shd w:val="clear" w:color="auto" w:fill="auto"/>
          <w:lang w:val="ru-RU" w:eastAsia="ru-RU" w:bidi="ru-RU"/>
        </w:rPr>
        <w:t>е1есдео@тай.ги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6" w:after="6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93" w:right="0" w:bottom="101" w:left="0" w:header="0" w:footer="3" w:gutter="0"/>
          <w:cols w:space="720"/>
          <w:noEndnote/>
          <w:rtlGutter w:val="0"/>
          <w:docGrid w:linePitch="360"/>
        </w:sectPr>
      </w:pP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№077/06/106-15619/2023 о нарушении</w:t>
        <w:br/>
        <w:t>законодательства о контрактной системе</w:t>
      </w:r>
    </w:p>
    <w:p>
      <w:pPr>
        <w:pStyle w:val="Style8"/>
        <w:keepNext w:val="0"/>
        <w:keepLines w:val="0"/>
        <w:widowControl w:val="0"/>
        <w:shd w:val="clear" w:color="auto" w:fill="auto"/>
        <w:bidi w:val="0"/>
        <w:spacing w:before="0" w:after="0"/>
        <w:ind w:left="0" w:right="0" w:firstLine="0"/>
        <w:jc w:val="right"/>
      </w:pPr>
      <w:r>
        <mc:AlternateContent>
          <mc:Choice Requires="wps">
            <w:drawing>
              <wp:anchor distT="0" distB="0" distL="0" distR="0" simplePos="0" relativeHeight="125829378" behindDoc="0" locked="0" layoutInCell="1" allowOverlap="1">
                <wp:simplePos x="0" y="0"/>
                <wp:positionH relativeFrom="page">
                  <wp:posOffset>708660</wp:posOffset>
                </wp:positionH>
                <wp:positionV relativeFrom="paragraph">
                  <wp:posOffset>25400</wp:posOffset>
                </wp:positionV>
                <wp:extent cx="1195070" cy="454025"/>
                <wp:wrapSquare wrapText="right"/>
                <wp:docPr id="4" name="Shape 4"/>
                <a:graphic xmlns:a="http://schemas.openxmlformats.org/drawingml/2006/main">
                  <a:graphicData uri="http://schemas.microsoft.com/office/word/2010/wordprocessingShape">
                    <wps:wsp>
                      <wps:cNvSpPr txBox="1"/>
                      <wps:spPr>
                        <a:xfrm>
                          <a:ext cx="1195070" cy="4540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03.11.2023</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w:t>
                            </w:r>
                          </w:p>
                        </w:txbxContent>
                      </wps:txbx>
                      <wps:bodyPr lIns="0" tIns="0" rIns="0" bIns="0">
                        <a:noAutoFit/>
                      </wps:bodyPr>
                    </wps:wsp>
                  </a:graphicData>
                </a:graphic>
              </wp:anchor>
            </w:drawing>
          </mc:Choice>
          <mc:Fallback>
            <w:pict>
              <v:shape id="_x0000_s1030" type="#_x0000_t202" style="position:absolute;margin-left:55.800000000000004pt;margin-top:2.pt;width:94.100000000000009pt;height:35.75pt;z-index:-125829375;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03.11.2023</w:t>
                      </w:r>
                    </w:p>
                    <w:p>
                      <w:pPr>
                        <w:pStyle w:val="Style8"/>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w:t>
                      </w:r>
                    </w:p>
                  </w:txbxContent>
                </v:textbox>
                <w10:wrap type="square" side="right" anchorx="page"/>
              </v:shape>
            </w:pict>
          </mc:Fallback>
        </mc:AlternateContent>
      </w:r>
      <w:r>
        <w:rPr>
          <w:b/>
          <w:bCs/>
          <w:color w:val="000000"/>
          <w:spacing w:val="0"/>
          <w:w w:val="100"/>
          <w:position w:val="0"/>
          <w:shd w:val="clear" w:color="auto" w:fill="auto"/>
          <w:lang w:val="ru-RU" w:eastAsia="ru-RU" w:bidi="ru-RU"/>
        </w:rPr>
        <w:t>г. Москва</w:t>
      </w:r>
    </w:p>
    <w:p>
      <w:pPr>
        <w:pStyle w:val="Style8"/>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6694805</wp:posOffset>
                </wp:positionH>
                <wp:positionV relativeFrom="paragraph">
                  <wp:posOffset>635000</wp:posOffset>
                </wp:positionV>
                <wp:extent cx="524510" cy="243840"/>
                <wp:wrapSquare wrapText="bothSides"/>
                <wp:docPr id="6" name="Shape 6"/>
                <a:graphic xmlns:a="http://schemas.openxmlformats.org/drawingml/2006/main">
                  <a:graphicData uri="http://schemas.microsoft.com/office/word/2010/wordprocessingShape">
                    <wps:wsp>
                      <wps:cNvSpPr txBox="1"/>
                      <wps:spPr>
                        <a:xfrm>
                          <a:ext cx="524510" cy="24384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отдела</w:t>
                            </w:r>
                          </w:p>
                        </w:txbxContent>
                      </wps:txbx>
                      <wps:bodyPr wrap="none" lIns="0" tIns="0" rIns="0" bIns="0">
                        <a:noAutoFit/>
                      </wps:bodyPr>
                    </wps:wsp>
                  </a:graphicData>
                </a:graphic>
              </wp:anchor>
            </w:drawing>
          </mc:Choice>
          <mc:Fallback>
            <w:pict>
              <v:shape id="_x0000_s1032" type="#_x0000_t202" style="position:absolute;margin-left:527.14999999999998pt;margin-top:50.pt;width:41.300000000000004pt;height:19.199999999999999pt;z-index:-125829373;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отдела</w:t>
                      </w:r>
                    </w:p>
                  </w:txbxContent>
                </v:textbox>
                <w10:wrap type="square" anchorx="page"/>
              </v:shape>
            </w:pict>
          </mc:Fallback>
        </mc:AlternateContent>
      </w:r>
      <w:r>
        <w:rPr>
          <w:color w:val="000000"/>
          <w:spacing w:val="0"/>
          <w:w w:val="100"/>
          <w:position w:val="0"/>
          <w:shd w:val="clear" w:color="auto" w:fill="auto"/>
          <w:lang w:val="ru-RU" w:eastAsia="ru-RU" w:bidi="ru-RU"/>
        </w:rPr>
        <w:t>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8"/>
        <w:keepNext w:val="0"/>
        <w:keepLines w:val="0"/>
        <w:widowControl w:val="0"/>
        <w:shd w:val="clear" w:color="auto" w:fill="auto"/>
        <w:bidi w:val="0"/>
        <w:spacing w:before="0" w:after="0"/>
        <w:ind w:left="0" w:right="0" w:firstLine="700"/>
        <w:jc w:val="both"/>
      </w:pPr>
      <w:r>
        <mc:AlternateContent>
          <mc:Choice Requires="wps">
            <w:drawing>
              <wp:anchor distT="0" distB="0" distL="38100" distR="38100" simplePos="0" relativeHeight="125829382" behindDoc="0" locked="0" layoutInCell="1" allowOverlap="1">
                <wp:simplePos x="0" y="0"/>
                <wp:positionH relativeFrom="page">
                  <wp:posOffset>6597015</wp:posOffset>
                </wp:positionH>
                <wp:positionV relativeFrom="paragraph">
                  <wp:posOffset>635000</wp:posOffset>
                </wp:positionV>
                <wp:extent cx="618490" cy="247015"/>
                <wp:wrapSquare wrapText="left"/>
                <wp:docPr id="8" name="Shape 8"/>
                <a:graphic xmlns:a="http://schemas.openxmlformats.org/drawingml/2006/main">
                  <a:graphicData uri="http://schemas.microsoft.com/office/word/2010/wordprocessingShape">
                    <wps:wsp>
                      <wps:cNvSpPr txBox="1"/>
                      <wps:spPr>
                        <a:xfrm>
                          <a:ext cx="61849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txbxContent>
                      </wps:txbx>
                      <wps:bodyPr wrap="none" lIns="0" tIns="0" rIns="0" bIns="0">
                        <a:noAutoFit/>
                      </wps:bodyPr>
                    </wps:wsp>
                  </a:graphicData>
                </a:graphic>
              </wp:anchor>
            </w:drawing>
          </mc:Choice>
          <mc:Fallback>
            <w:pict>
              <v:shape id="_x0000_s1034" type="#_x0000_t202" style="position:absolute;margin-left:519.45000000000005pt;margin-top:50.pt;width:48.700000000000003pt;height:19.449999999999999pt;z-index:-125829371;mso-wrap-distance-left:3.pt;mso-wrap-distance-right:3.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Председательствующего: главного государственного инспектора обжалования государственных закупок Е.А. Мироновой, Члены Комиссии:</w:t>
      </w:r>
    </w:p>
    <w:p>
      <w:pPr>
        <w:pStyle w:val="Style8"/>
        <w:keepNext w:val="0"/>
        <w:keepLines w:val="0"/>
        <w:widowControl w:val="0"/>
        <w:shd w:val="clear" w:color="auto" w:fill="auto"/>
        <w:bidi w:val="0"/>
        <w:spacing w:before="0" w:after="0"/>
        <w:ind w:left="0" w:right="0" w:firstLine="700"/>
        <w:jc w:val="both"/>
      </w:pPr>
      <w:r>
        <mc:AlternateContent>
          <mc:Choice Requires="wps">
            <w:drawing>
              <wp:anchor distT="0" distB="0" distL="114300" distR="114300" simplePos="0" relativeHeight="125829384" behindDoc="0" locked="0" layoutInCell="1" allowOverlap="1">
                <wp:simplePos x="0" y="0"/>
                <wp:positionH relativeFrom="page">
                  <wp:posOffset>6597015</wp:posOffset>
                </wp:positionH>
                <wp:positionV relativeFrom="paragraph">
                  <wp:posOffset>419100</wp:posOffset>
                </wp:positionV>
                <wp:extent cx="618490" cy="247015"/>
                <wp:wrapSquare wrapText="left"/>
                <wp:docPr id="10" name="Shape 10"/>
                <a:graphic xmlns:a="http://schemas.openxmlformats.org/drawingml/2006/main">
                  <a:graphicData uri="http://schemas.microsoft.com/office/word/2010/wordprocessingShape">
                    <wps:wsp>
                      <wps:cNvSpPr txBox="1"/>
                      <wps:spPr>
                        <a:xfrm>
                          <a:ext cx="61849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txbxContent>
                      </wps:txbx>
                      <wps:bodyPr wrap="none" lIns="0" tIns="0" rIns="0" bIns="0">
                        <a:noAutoFit/>
                      </wps:bodyPr>
                    </wps:wsp>
                  </a:graphicData>
                </a:graphic>
              </wp:anchor>
            </w:drawing>
          </mc:Choice>
          <mc:Fallback>
            <w:pict>
              <v:shape id="_x0000_s1036" type="#_x0000_t202" style="position:absolute;margin-left:519.45000000000005pt;margin-top:33.pt;width:48.700000000000003pt;height:19.449999999999999pt;z-index:-125829369;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txbxContent>
                </v:textbox>
                <w10:wrap type="square" side="left" anchorx="page"/>
              </v:shape>
            </w:pict>
          </mc:Fallback>
        </mc:AlternateContent>
      </w:r>
      <w:r>
        <w:rPr>
          <w:color w:val="000000"/>
          <w:spacing w:val="0"/>
          <w:w w:val="100"/>
          <w:position w:val="0"/>
          <w:shd w:val="clear" w:color="auto" w:fill="auto"/>
          <w:lang w:val="ru-RU" w:eastAsia="ru-RU" w:bidi="ru-RU"/>
        </w:rPr>
        <w:t>Главного специалиста-эксперта отдела обжалования государственных А.А. Матюшенко,</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М.В. Сорбучевой,</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представителя Департамента развития новых территорий г. Москвы, ООО «Елецгеоизыскания»,</w:t>
      </w:r>
    </w:p>
    <w:p>
      <w:pPr>
        <w:pStyle w:val="Style8"/>
        <w:keepNext w:val="0"/>
        <w:keepLines w:val="0"/>
        <w:widowControl w:val="0"/>
        <w:shd w:val="clear" w:color="auto" w:fill="auto"/>
        <w:bidi w:val="0"/>
        <w:spacing w:before="0" w:after="320"/>
        <w:ind w:left="0" w:right="0" w:firstLine="700"/>
        <w:jc w:val="both"/>
      </w:pPr>
      <w:r>
        <w:rPr>
          <w:color w:val="000000"/>
          <w:spacing w:val="0"/>
          <w:w w:val="100"/>
          <w:position w:val="0"/>
          <w:shd w:val="clear" w:color="auto" w:fill="auto"/>
          <w:lang w:val="ru-RU" w:eastAsia="ru-RU" w:bidi="ru-RU"/>
        </w:rPr>
        <w:t>рассмотрев жалобу ООО «Елецгеоизыскания» (далее — Заявитель) на действия Департамента развития новых территорий города Москвы (далее — Заказчик) при проведении открытого конкурса в электронной форме на право заключения государственного контракта на оказание услуг по осуществлению функций технического заказчика на период выполнения подрядных работ по объекту: «ГБОУ «Школа № 2073», г. Москва, пос. Кленовское, с. Кленово (1-й этап: Строительство нового учебного корпуса на 300 мест; 2-й этап: Реконструкция существующего здания школы)». 2 этап (Закупка №0173200025423000028) (далее - конкурс) в соответствии с Федеральным законом от 05.04.2013 № 44-ФЗ «О</w:t>
      </w:r>
    </w:p>
    <w:p>
      <w:pPr>
        <w:pStyle w:val="Style11"/>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13"/>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2023-54152</w:t>
      </w:r>
    </w:p>
    <w:p>
      <w:pPr>
        <w:pStyle w:val="Style8"/>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9"/>
        <w:keepNext/>
        <w:keepLines/>
        <w:widowControl w:val="0"/>
        <w:shd w:val="clear" w:color="auto" w:fill="auto"/>
        <w:bidi w:val="0"/>
        <w:spacing w:before="0" w:line="252" w:lineRule="auto"/>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составе извещения Заказчиком неправомерно установлен критерий «Характеристика объекта закупки».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8"/>
        <w:keepNext w:val="0"/>
        <w:keepLines w:val="0"/>
        <w:widowControl w:val="0"/>
        <w:numPr>
          <w:ilvl w:val="0"/>
          <w:numId w:val="1"/>
        </w:numPr>
        <w:shd w:val="clear" w:color="auto" w:fill="auto"/>
        <w:tabs>
          <w:tab w:pos="1080" w:val="left"/>
        </w:tabs>
        <w:bidi w:val="0"/>
        <w:spacing w:before="0" w:after="0"/>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8"/>
        <w:keepNext w:val="0"/>
        <w:keepLines w:val="0"/>
        <w:widowControl w:val="0"/>
        <w:numPr>
          <w:ilvl w:val="0"/>
          <w:numId w:val="1"/>
        </w:numPr>
        <w:shd w:val="clear" w:color="auto" w:fill="auto"/>
        <w:tabs>
          <w:tab w:pos="1086" w:val="left"/>
        </w:tabs>
        <w:bidi w:val="0"/>
        <w:spacing w:before="0" w:after="0"/>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8"/>
        <w:keepNext w:val="0"/>
        <w:keepLines w:val="0"/>
        <w:widowControl w:val="0"/>
        <w:numPr>
          <w:ilvl w:val="0"/>
          <w:numId w:val="1"/>
        </w:numPr>
        <w:shd w:val="clear" w:color="auto" w:fill="auto"/>
        <w:tabs>
          <w:tab w:pos="1081" w:val="left"/>
        </w:tabs>
        <w:bidi w:val="0"/>
        <w:spacing w:before="0" w:after="0"/>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8"/>
        <w:keepNext w:val="0"/>
        <w:keepLines w:val="0"/>
        <w:widowControl w:val="0"/>
        <w:numPr>
          <w:ilvl w:val="0"/>
          <w:numId w:val="1"/>
        </w:numPr>
        <w:shd w:val="clear" w:color="auto" w:fill="auto"/>
        <w:tabs>
          <w:tab w:pos="1086" w:val="left"/>
        </w:tabs>
        <w:bidi w:val="0"/>
        <w:spacing w:before="0" w:after="0"/>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п.4 ч.2 ст.42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Абз.1 п.1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8"/>
        <w:keepNext w:val="0"/>
        <w:keepLines w:val="0"/>
        <w:widowControl w:val="0"/>
        <w:shd w:val="clear" w:color="auto" w:fill="auto"/>
        <w:bidi w:val="0"/>
        <w:spacing w:before="0" w:after="320" w:line="276"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w:t>
      </w:r>
      <w:r>
        <w:rPr>
          <w:color w:val="000000"/>
          <w:spacing w:val="0"/>
          <w:w w:val="100"/>
          <w:position w:val="0"/>
          <w:sz w:val="24"/>
          <w:szCs w:val="24"/>
          <w:shd w:val="clear" w:color="auto" w:fill="auto"/>
          <w:lang w:val="ru-RU" w:eastAsia="ru-RU" w:bidi="ru-RU"/>
        </w:rPr>
        <w:t>2023-54152</w:t>
      </w:r>
    </w:p>
    <w:p>
      <w:pPr>
        <w:pStyle w:val="Style8"/>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заявок) на основании информации и документов участников закупок.</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П.3 Положения определено, что для оценки заявок в соответствии с настоящим Положением применяются следующие критерии оценки:</w:t>
      </w:r>
    </w:p>
    <w:p>
      <w:pPr>
        <w:pStyle w:val="Style8"/>
        <w:keepNext w:val="0"/>
        <w:keepLines w:val="0"/>
        <w:widowControl w:val="0"/>
        <w:numPr>
          <w:ilvl w:val="0"/>
          <w:numId w:val="3"/>
        </w:numPr>
        <w:shd w:val="clear" w:color="auto" w:fill="auto"/>
        <w:tabs>
          <w:tab w:pos="1102"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8"/>
        <w:keepNext w:val="0"/>
        <w:keepLines w:val="0"/>
        <w:widowControl w:val="0"/>
        <w:numPr>
          <w:ilvl w:val="0"/>
          <w:numId w:val="3"/>
        </w:numPr>
        <w:shd w:val="clear" w:color="auto" w:fill="auto"/>
        <w:tabs>
          <w:tab w:pos="111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расходы;</w:t>
      </w:r>
    </w:p>
    <w:p>
      <w:pPr>
        <w:pStyle w:val="Style8"/>
        <w:keepNext w:val="0"/>
        <w:keepLines w:val="0"/>
        <w:widowControl w:val="0"/>
        <w:numPr>
          <w:ilvl w:val="0"/>
          <w:numId w:val="3"/>
        </w:numPr>
        <w:shd w:val="clear" w:color="auto" w:fill="auto"/>
        <w:tabs>
          <w:tab w:pos="111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характеристики объекта закупки;</w:t>
      </w:r>
    </w:p>
    <w:p>
      <w:pPr>
        <w:pStyle w:val="Style8"/>
        <w:keepNext w:val="0"/>
        <w:keepLines w:val="0"/>
        <w:widowControl w:val="0"/>
        <w:numPr>
          <w:ilvl w:val="0"/>
          <w:numId w:val="3"/>
        </w:numPr>
        <w:shd w:val="clear" w:color="auto" w:fill="auto"/>
        <w:tabs>
          <w:tab w:pos="1092"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квалификация участников закупки.</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п.16 Положения для оценки заявок по критерию оценки «характеристики объекта закупки» могут применяться, если иное не предусмотрено Положением, один или несколько из следующих показателей оценки:</w:t>
      </w:r>
    </w:p>
    <w:p>
      <w:pPr>
        <w:pStyle w:val="Style8"/>
        <w:keepNext w:val="0"/>
        <w:keepLines w:val="0"/>
        <w:widowControl w:val="0"/>
        <w:numPr>
          <w:ilvl w:val="0"/>
          <w:numId w:val="5"/>
        </w:numPr>
        <w:shd w:val="clear" w:color="auto" w:fill="auto"/>
        <w:tabs>
          <w:tab w:pos="1102"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качественные характеристики объекта закупки;</w:t>
      </w:r>
    </w:p>
    <w:p>
      <w:pPr>
        <w:pStyle w:val="Style8"/>
        <w:keepNext w:val="0"/>
        <w:keepLines w:val="0"/>
        <w:widowControl w:val="0"/>
        <w:numPr>
          <w:ilvl w:val="0"/>
          <w:numId w:val="5"/>
        </w:numPr>
        <w:shd w:val="clear" w:color="auto" w:fill="auto"/>
        <w:tabs>
          <w:tab w:pos="111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функциональные характеристики объекта закупки;</w:t>
      </w:r>
    </w:p>
    <w:p>
      <w:pPr>
        <w:pStyle w:val="Style8"/>
        <w:keepNext w:val="0"/>
        <w:keepLines w:val="0"/>
        <w:widowControl w:val="0"/>
        <w:numPr>
          <w:ilvl w:val="0"/>
          <w:numId w:val="5"/>
        </w:numPr>
        <w:shd w:val="clear" w:color="auto" w:fill="auto"/>
        <w:tabs>
          <w:tab w:pos="111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экологические характеристики объекта закупки.</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порядке оценки, размещенным Заказчиком в составе извещения, в том числе предусмотрен критерий «Характеристика объекта закупки».</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порядке оценки заявок участников закупки Заказчиком неправомерно установлен критерий «Характеристика объекта закупки», так как работы по строительному контролю являются составной частью работ по строительству объекта капитального строительства, в связи с чем Заказчику надлежало сформировать порядок оценки в соответствии с п.31 Положения, который не предусматривает возможность установления такого критерия как «Характеристика объекта закупки».</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8"/>
        <w:keepNext w:val="0"/>
        <w:keepLines w:val="0"/>
        <w:widowControl w:val="0"/>
        <w:numPr>
          <w:ilvl w:val="0"/>
          <w:numId w:val="7"/>
        </w:numPr>
        <w:shd w:val="clear" w:color="auto" w:fill="auto"/>
        <w:tabs>
          <w:tab w:pos="1102"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8"/>
        <w:keepNext w:val="0"/>
        <w:keepLines w:val="0"/>
        <w:widowControl w:val="0"/>
        <w:numPr>
          <w:ilvl w:val="0"/>
          <w:numId w:val="7"/>
        </w:numPr>
        <w:shd w:val="clear" w:color="auto" w:fill="auto"/>
        <w:tabs>
          <w:tab w:pos="1093"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8"/>
        <w:keepNext w:val="0"/>
        <w:keepLines w:val="0"/>
        <w:widowControl w:val="0"/>
        <w:numPr>
          <w:ilvl w:val="0"/>
          <w:numId w:val="7"/>
        </w:numPr>
        <w:shd w:val="clear" w:color="auto" w:fill="auto"/>
        <w:tabs>
          <w:tab w:pos="1083"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8"/>
        <w:keepNext w:val="0"/>
        <w:keepLines w:val="0"/>
        <w:widowControl w:val="0"/>
        <w:numPr>
          <w:ilvl w:val="0"/>
          <w:numId w:val="7"/>
        </w:numPr>
        <w:shd w:val="clear" w:color="auto" w:fill="auto"/>
        <w:tabs>
          <w:tab w:pos="1092"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8"/>
        <w:keepNext w:val="0"/>
        <w:keepLines w:val="0"/>
        <w:widowControl w:val="0"/>
        <w:numPr>
          <w:ilvl w:val="0"/>
          <w:numId w:val="7"/>
        </w:numPr>
        <w:shd w:val="clear" w:color="auto" w:fill="auto"/>
        <w:tabs>
          <w:tab w:pos="1093"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59"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п.31 Положения при осуществлении закупки, по результатам проведения которой заключается контракт, предусмотренный ч.16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ч.16.1 ст.34 и ч.56 ст.112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w:t>
      </w:r>
      <w:r>
        <w:rPr>
          <w:color w:val="000000"/>
          <w:spacing w:val="0"/>
          <w:w w:val="100"/>
          <w:position w:val="0"/>
          <w:sz w:val="24"/>
          <w:szCs w:val="24"/>
          <w:shd w:val="clear" w:color="auto" w:fill="auto"/>
          <w:lang w:val="ru-RU" w:eastAsia="ru-RU" w:bidi="ru-RU"/>
        </w:rPr>
        <w:t>2023-54152</w:t>
      </w:r>
    </w:p>
    <w:p>
      <w:pPr>
        <w:pStyle w:val="Style8"/>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8"/>
        <w:keepNext w:val="0"/>
        <w:keepLines w:val="0"/>
        <w:widowControl w:val="0"/>
        <w:numPr>
          <w:ilvl w:val="0"/>
          <w:numId w:val="9"/>
        </w:numPr>
        <w:shd w:val="clear" w:color="auto" w:fill="auto"/>
        <w:tabs>
          <w:tab w:pos="1083" w:val="left"/>
        </w:tabs>
        <w:bidi w:val="0"/>
        <w:spacing w:before="0" w:after="0"/>
        <w:ind w:left="0" w:right="0" w:firstLine="700"/>
        <w:jc w:val="both"/>
      </w:pPr>
      <w:r>
        <w:rPr>
          <w:color w:val="000000"/>
          <w:spacing w:val="0"/>
          <w:w w:val="100"/>
          <w:position w:val="0"/>
          <w:shd w:val="clear" w:color="auto" w:fill="auto"/>
          <w:lang w:val="ru-RU" w:eastAsia="ru-RU" w:bidi="ru-RU"/>
        </w:rPr>
        <w:t>критерии оценки, предусмотренные пп.«б» и «в» п.3 Положения, не применяются;</w:t>
      </w:r>
    </w:p>
    <w:p>
      <w:pPr>
        <w:pStyle w:val="Style8"/>
        <w:keepNext w:val="0"/>
        <w:keepLines w:val="0"/>
        <w:widowControl w:val="0"/>
        <w:numPr>
          <w:ilvl w:val="0"/>
          <w:numId w:val="9"/>
        </w:numPr>
        <w:shd w:val="clear" w:color="auto" w:fill="auto"/>
        <w:tabs>
          <w:tab w:pos="1098" w:val="left"/>
        </w:tabs>
        <w:bidi w:val="0"/>
        <w:spacing w:before="0" w:after="0"/>
        <w:ind w:left="0" w:right="0" w:firstLine="700"/>
        <w:jc w:val="both"/>
      </w:pPr>
      <w:r>
        <w:rPr>
          <w:color w:val="000000"/>
          <w:spacing w:val="0"/>
          <w:w w:val="100"/>
          <w:position w:val="0"/>
          <w:shd w:val="clear" w:color="auto" w:fill="auto"/>
          <w:lang w:val="ru-RU" w:eastAsia="ru-RU" w:bidi="ru-RU"/>
        </w:rPr>
        <w:t>для оценки заявок по критерию, предусмотренному пп.«г» п.3 Положения, подлежит обязательному применению исключительно показатель оценки, предусмотренный пп.«в» п.24 Положения;</w:t>
      </w:r>
    </w:p>
    <w:p>
      <w:pPr>
        <w:pStyle w:val="Style8"/>
        <w:keepNext w:val="0"/>
        <w:keepLines w:val="0"/>
        <w:widowControl w:val="0"/>
        <w:numPr>
          <w:ilvl w:val="0"/>
          <w:numId w:val="9"/>
        </w:numPr>
        <w:shd w:val="clear" w:color="auto" w:fill="auto"/>
        <w:tabs>
          <w:tab w:pos="1088" w:val="left"/>
        </w:tabs>
        <w:bidi w:val="0"/>
        <w:spacing w:before="0" w:after="0"/>
        <w:ind w:left="0" w:right="0" w:firstLine="700"/>
        <w:jc w:val="both"/>
      </w:pPr>
      <w:r>
        <w:rPr>
          <w:color w:val="000000"/>
          <w:spacing w:val="0"/>
          <w:w w:val="100"/>
          <w:position w:val="0"/>
          <w:shd w:val="clear" w:color="auto" w:fill="auto"/>
          <w:lang w:val="ru-RU" w:eastAsia="ru-RU" w:bidi="ru-RU"/>
        </w:rPr>
        <w:t>документом, предусмотренным порядком оценки, в отношении показателя оценки, предусмотренного пп.«в» п.24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pPr>
        <w:pStyle w:val="Style8"/>
        <w:keepNext w:val="0"/>
        <w:keepLines w:val="0"/>
        <w:widowControl w:val="0"/>
        <w:numPr>
          <w:ilvl w:val="0"/>
          <w:numId w:val="11"/>
        </w:numPr>
        <w:shd w:val="clear" w:color="auto" w:fill="auto"/>
        <w:tabs>
          <w:tab w:pos="1395" w:val="left"/>
        </w:tabs>
        <w:bidi w:val="0"/>
        <w:spacing w:before="0" w:after="0"/>
        <w:ind w:left="0" w:right="0" w:firstLine="700"/>
        <w:jc w:val="both"/>
      </w:pPr>
      <w:r>
        <w:rPr>
          <w:color w:val="000000"/>
          <w:spacing w:val="0"/>
          <w:w w:val="100"/>
          <w:position w:val="0"/>
          <w:shd w:val="clear" w:color="auto" w:fill="auto"/>
          <w:lang w:val="ru-RU" w:eastAsia="ru-RU" w:bidi="ru-RU"/>
        </w:rPr>
        <w:t>объект капитального строительства (за исключением линейного объекта);</w:t>
      </w:r>
    </w:p>
    <w:p>
      <w:pPr>
        <w:pStyle w:val="Style8"/>
        <w:keepNext w:val="0"/>
        <w:keepLines w:val="0"/>
        <w:widowControl w:val="0"/>
        <w:numPr>
          <w:ilvl w:val="0"/>
          <w:numId w:val="11"/>
        </w:numPr>
        <w:shd w:val="clear" w:color="auto" w:fill="auto"/>
        <w:tabs>
          <w:tab w:pos="1395" w:val="left"/>
        </w:tabs>
        <w:bidi w:val="0"/>
        <w:spacing w:before="0" w:after="0"/>
        <w:ind w:left="0" w:right="0" w:firstLine="700"/>
        <w:jc w:val="both"/>
      </w:pPr>
      <w:r>
        <w:rPr>
          <w:color w:val="000000"/>
          <w:spacing w:val="0"/>
          <w:w w:val="100"/>
          <w:position w:val="0"/>
          <w:shd w:val="clear" w:color="auto" w:fill="auto"/>
          <w:lang w:val="ru-RU" w:eastAsia="ru-RU" w:bidi="ru-RU"/>
        </w:rPr>
        <w:t>линейный объект, за исключением автомобильной дороги; - автомобильная дорога;</w:t>
      </w:r>
    </w:p>
    <w:p>
      <w:pPr>
        <w:pStyle w:val="Style8"/>
        <w:keepNext w:val="0"/>
        <w:keepLines w:val="0"/>
        <w:widowControl w:val="0"/>
        <w:numPr>
          <w:ilvl w:val="0"/>
          <w:numId w:val="11"/>
        </w:numPr>
        <w:shd w:val="clear" w:color="auto" w:fill="auto"/>
        <w:tabs>
          <w:tab w:pos="1395" w:val="left"/>
        </w:tabs>
        <w:bidi w:val="0"/>
        <w:spacing w:before="0" w:after="0"/>
        <w:ind w:left="0" w:right="0" w:firstLine="700"/>
        <w:jc w:val="both"/>
      </w:pPr>
      <w:r>
        <w:rPr>
          <w:color w:val="000000"/>
          <w:spacing w:val="0"/>
          <w:w w:val="100"/>
          <w:position w:val="0"/>
          <w:shd w:val="clear" w:color="auto" w:fill="auto"/>
          <w:lang w:val="ru-RU" w:eastAsia="ru-RU" w:bidi="ru-RU"/>
        </w:rPr>
        <w:t>особо опасный, технически сложный и уникальный объект капитального строительства;</w:t>
      </w:r>
    </w:p>
    <w:p>
      <w:pPr>
        <w:pStyle w:val="Style8"/>
        <w:keepNext w:val="0"/>
        <w:keepLines w:val="0"/>
        <w:widowControl w:val="0"/>
        <w:numPr>
          <w:ilvl w:val="0"/>
          <w:numId w:val="11"/>
        </w:numPr>
        <w:shd w:val="clear" w:color="auto" w:fill="auto"/>
        <w:tabs>
          <w:tab w:pos="1395" w:val="left"/>
        </w:tabs>
        <w:bidi w:val="0"/>
        <w:spacing w:before="0" w:after="0"/>
        <w:ind w:left="0" w:right="0" w:firstLine="700"/>
        <w:jc w:val="both"/>
      </w:pPr>
      <w:r>
        <w:rPr>
          <w:color w:val="000000"/>
          <w:spacing w:val="0"/>
          <w:w w:val="100"/>
          <w:position w:val="0"/>
          <w:shd w:val="clear" w:color="auto" w:fill="auto"/>
          <w:lang w:val="ru-RU" w:eastAsia="ru-RU" w:bidi="ru-RU"/>
        </w:rPr>
        <w:t>объект культурного наследия (памятник истории и культуры) народов Российской Федерации;</w:t>
      </w:r>
    </w:p>
    <w:p>
      <w:pPr>
        <w:pStyle w:val="Style8"/>
        <w:keepNext w:val="0"/>
        <w:keepLines w:val="0"/>
        <w:widowControl w:val="0"/>
        <w:numPr>
          <w:ilvl w:val="0"/>
          <w:numId w:val="9"/>
        </w:numPr>
        <w:shd w:val="clear" w:color="auto" w:fill="auto"/>
        <w:tabs>
          <w:tab w:pos="1080" w:val="left"/>
        </w:tabs>
        <w:bidi w:val="0"/>
        <w:spacing w:before="0" w:after="0"/>
        <w:ind w:left="0" w:right="0" w:firstLine="700"/>
        <w:jc w:val="both"/>
      </w:pPr>
      <w:r>
        <w:rPr>
          <w:color w:val="000000"/>
          <w:spacing w:val="0"/>
          <w:w w:val="100"/>
          <w:position w:val="0"/>
          <w:shd w:val="clear" w:color="auto" w:fill="auto"/>
          <w:lang w:val="ru-RU" w:eastAsia="ru-RU" w:bidi="ru-RU"/>
        </w:rPr>
        <w:t>документом, предусмотренным порядком оценки в отношении показателя оценки, предусмотренного пп.«в» п.24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8"/>
        <w:keepNext w:val="0"/>
        <w:keepLines w:val="0"/>
        <w:widowControl w:val="0"/>
        <w:numPr>
          <w:ilvl w:val="0"/>
          <w:numId w:val="13"/>
        </w:numPr>
        <w:shd w:val="clear" w:color="auto" w:fill="auto"/>
        <w:tabs>
          <w:tab w:pos="1395" w:val="left"/>
        </w:tabs>
        <w:bidi w:val="0"/>
        <w:spacing w:before="0" w:after="0"/>
        <w:ind w:left="0" w:right="0" w:firstLine="700"/>
        <w:jc w:val="both"/>
      </w:pPr>
      <w:r>
        <w:rPr>
          <w:color w:val="000000"/>
          <w:spacing w:val="0"/>
          <w:w w:val="100"/>
          <w:position w:val="0"/>
          <w:shd w:val="clear" w:color="auto" w:fill="auto"/>
          <w:lang w:val="ru-RU" w:eastAsia="ru-RU" w:bidi="ru-RU"/>
        </w:rPr>
        <w:t>контракт, предусмотренный ч.16 ст.34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8"/>
        <w:keepNext w:val="0"/>
        <w:keepLines w:val="0"/>
        <w:widowControl w:val="0"/>
        <w:numPr>
          <w:ilvl w:val="0"/>
          <w:numId w:val="13"/>
        </w:numPr>
        <w:shd w:val="clear" w:color="auto" w:fill="auto"/>
        <w:tabs>
          <w:tab w:pos="2111" w:val="left"/>
        </w:tabs>
        <w:bidi w:val="0"/>
        <w:spacing w:before="0" w:after="0"/>
        <w:ind w:left="0" w:right="0" w:firstLine="700"/>
        <w:jc w:val="both"/>
      </w:pPr>
      <w:r>
        <w:rPr>
          <w:color w:val="000000"/>
          <w:spacing w:val="0"/>
          <w:w w:val="100"/>
          <w:position w:val="0"/>
          <w:shd w:val="clear" w:color="auto" w:fill="auto"/>
          <w:lang w:val="ru-RU" w:eastAsia="ru-RU" w:bidi="ru-RU"/>
        </w:rPr>
        <w:t>контракт, предусмотренный ч.16.1 ст.34 Закона о контрактной системе;</w:t>
      </w:r>
    </w:p>
    <w:p>
      <w:pPr>
        <w:pStyle w:val="Style8"/>
        <w:keepNext w:val="0"/>
        <w:keepLines w:val="0"/>
        <w:widowControl w:val="0"/>
        <w:numPr>
          <w:ilvl w:val="0"/>
          <w:numId w:val="13"/>
        </w:numPr>
        <w:shd w:val="clear" w:color="auto" w:fill="auto"/>
        <w:tabs>
          <w:tab w:pos="1395" w:val="left"/>
          <w:tab w:pos="2111" w:val="left"/>
        </w:tabs>
        <w:bidi w:val="0"/>
        <w:spacing w:before="0" w:after="0"/>
        <w:ind w:left="0" w:right="0" w:firstLine="700"/>
        <w:jc w:val="both"/>
      </w:pPr>
      <w:r>
        <w:rPr>
          <w:color w:val="000000"/>
          <w:spacing w:val="0"/>
          <w:w w:val="100"/>
          <w:position w:val="0"/>
          <w:shd w:val="clear" w:color="auto" w:fill="auto"/>
          <w:lang w:val="ru-RU" w:eastAsia="ru-RU" w:bidi="ru-RU"/>
        </w:rPr>
        <w:t>контракт, предусмотренный ч.56 ст.112 Закона о контрактной системе;</w:t>
      </w:r>
    </w:p>
    <w:p>
      <w:pPr>
        <w:pStyle w:val="Style8"/>
        <w:keepNext w:val="0"/>
        <w:keepLines w:val="0"/>
        <w:widowControl w:val="0"/>
        <w:numPr>
          <w:ilvl w:val="0"/>
          <w:numId w:val="13"/>
        </w:numPr>
        <w:shd w:val="clear" w:color="auto" w:fill="auto"/>
        <w:tabs>
          <w:tab w:pos="1395" w:val="left"/>
          <w:tab w:pos="2111" w:val="left"/>
        </w:tabs>
        <w:bidi w:val="0"/>
        <w:spacing w:before="0" w:after="0"/>
        <w:ind w:left="0" w:right="0" w:firstLine="700"/>
        <w:jc w:val="both"/>
      </w:pPr>
      <w:r>
        <w:rPr>
          <w:color w:val="000000"/>
          <w:spacing w:val="0"/>
          <w:w w:val="100"/>
          <w:position w:val="0"/>
          <w:shd w:val="clear" w:color="auto" w:fill="auto"/>
          <w:lang w:val="ru-RU" w:eastAsia="ru-RU" w:bidi="ru-RU"/>
        </w:rPr>
        <w:t>договор, не относящийся к контрактам, указанным в абзацах втором</w:t>
      </w:r>
    </w:p>
    <w:p>
      <w:pPr>
        <w:pStyle w:val="Style8"/>
        <w:keepNext w:val="0"/>
        <w:keepLines w:val="0"/>
        <w:widowControl w:val="0"/>
        <w:numPr>
          <w:ilvl w:val="0"/>
          <w:numId w:val="13"/>
        </w:numPr>
        <w:shd w:val="clear" w:color="auto" w:fill="auto"/>
        <w:tabs>
          <w:tab w:pos="1395" w:val="left"/>
        </w:tabs>
        <w:bidi w:val="0"/>
        <w:spacing w:before="0" w:after="0"/>
        <w:ind w:left="0" w:right="0" w:firstLine="700"/>
        <w:jc w:val="both"/>
      </w:pPr>
      <w:r>
        <w:rPr>
          <w:color w:val="000000"/>
          <w:spacing w:val="0"/>
          <w:w w:val="100"/>
          <w:position w:val="0"/>
          <w:shd w:val="clear" w:color="auto" w:fill="auto"/>
          <w:lang w:val="ru-RU" w:eastAsia="ru-RU" w:bidi="ru-RU"/>
        </w:rPr>
        <w:t>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 к оценке принимаются документы, предусмотренные абз.3 пп.«в» п.28 Положения, в том числе если к ним не приложена проектная документация (если проектная документация является приложением к таким документам).</w:t>
      </w:r>
    </w:p>
    <w:p>
      <w:pPr>
        <w:pStyle w:val="Style8"/>
        <w:keepNext w:val="0"/>
        <w:keepLines w:val="0"/>
        <w:widowControl w:val="0"/>
        <w:shd w:val="clear" w:color="auto" w:fill="auto"/>
        <w:bidi w:val="0"/>
        <w:spacing w:before="0" w:after="0" w:line="276"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w:t>
      </w:r>
      <w:r>
        <w:rPr>
          <w:color w:val="000000"/>
          <w:spacing w:val="0"/>
          <w:w w:val="100"/>
          <w:position w:val="0"/>
          <w:sz w:val="24"/>
          <w:szCs w:val="24"/>
          <w:shd w:val="clear" w:color="auto" w:fill="auto"/>
          <w:lang w:val="ru-RU" w:eastAsia="ru-RU" w:bidi="ru-RU"/>
        </w:rPr>
        <w:t>2023-54152</w:t>
      </w:r>
    </w:p>
    <w:p>
      <w:pPr>
        <w:pStyle w:val="Style8"/>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объектом закупки является оказание услуг по осуществлению функций технического заказчика на период выполнения подрядных работ по объекту: «ГБОУ «Школа № 2073», г. Москва, пос. Кленовское, с. Кленово (1-й этап: Строительство нового учебного корпуса на 300 мест; 2-й этап: Реконструкция существующего здания школы)». 2 этап.</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Вместе с этим Комиссией Управления установлено, что, исходя из положений описания объекта закупки, в рамках закупаемых работ, подлежат осуществлению такие работы как: подготовка и использование площадки строительства, строительный контроль, авторский надзор.</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ч.1 ст.53 Градостроительного кодекса Российской Федерации (далее — ГрК РФ)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pPr>
        <w:pStyle w:val="Style8"/>
        <w:keepNext w:val="0"/>
        <w:keepLines w:val="0"/>
        <w:widowControl w:val="0"/>
        <w:shd w:val="clear" w:color="auto" w:fill="auto"/>
        <w:bidi w:val="0"/>
        <w:spacing w:before="0" w:after="0" w:line="259" w:lineRule="auto"/>
        <w:ind w:left="0" w:right="0" w:firstLine="700"/>
        <w:jc w:val="both"/>
        <w:rPr>
          <w:sz w:val="24"/>
          <w:szCs w:val="24"/>
        </w:rPr>
        <w:sectPr>
          <w:footnotePr>
            <w:pos w:val="pageBottom"/>
            <w:numFmt w:val="decimal"/>
            <w:numRestart w:val="continuous"/>
          </w:footnotePr>
          <w:type w:val="continuous"/>
          <w:pgSz w:w="11900" w:h="16840"/>
          <w:pgMar w:top="693" w:right="536" w:bottom="101" w:left="1101"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Комиссия Управления отмечает, что п.31 Положения однозначно определено, что п.31 Положения подлежит применению в случае если объектом закупки является, в том числе,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w:t>
      </w:r>
      <w:r>
        <w:rPr>
          <w:color w:val="000000"/>
          <w:spacing w:val="0"/>
          <w:w w:val="100"/>
          <w:position w:val="0"/>
          <w:sz w:val="24"/>
          <w:szCs w:val="24"/>
          <w:shd w:val="clear" w:color="auto" w:fill="auto"/>
          <w:lang w:val="ru-RU" w:eastAsia="ru-RU" w:bidi="ru-RU"/>
        </w:rPr>
        <w:t>2023-54152</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работы по осуществлению строительного контроля не могут быть отнесены к работам по строительству, реконструкции, капитальному ремонту, сносу объекта капитального строительства (в том числе линейного объекта) в понимании п.31 Положения, в связи с тем, что в рамках строительного контроля такие виды работ как строительство, реконструкция, ремонт и снос не осуществляются и подлежит исключительно контроль процесса выполнения данных работ.</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доводы жалобы не нашли своего подтверждения и являются необоснованными.</w:t>
      </w:r>
    </w:p>
    <w:p>
      <w:pPr>
        <w:pStyle w:val="Style8"/>
        <w:keepNext w:val="0"/>
        <w:keepLines w:val="0"/>
        <w:widowControl w:val="0"/>
        <w:shd w:val="clear" w:color="auto" w:fill="auto"/>
        <w:bidi w:val="0"/>
        <w:spacing w:before="0" w:after="0"/>
        <w:ind w:left="0" w:right="0" w:firstLine="700"/>
        <w:jc w:val="both"/>
        <w:sectPr>
          <w:headerReference w:type="default" r:id="rId9"/>
          <w:footerReference w:type="default" r:id="rId10"/>
          <w:footnotePr>
            <w:pos w:val="pageBottom"/>
            <w:numFmt w:val="decimal"/>
            <w:numRestart w:val="continuous"/>
          </w:footnotePr>
          <w:pgSz w:w="11900" w:h="16840"/>
          <w:pgMar w:top="1158" w:right="550" w:bottom="1158"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9"/>
        <w:keepNext/>
        <w:keepLines/>
        <w:widowControl w:val="0"/>
        <w:shd w:val="clear" w:color="auto" w:fill="auto"/>
        <w:bidi w:val="0"/>
        <w:spacing w:before="0" w:line="240" w:lineRule="auto"/>
        <w:ind w:left="0" w:right="0" w:firstLine="0"/>
        <w:jc w:val="center"/>
      </w:pPr>
      <w:bookmarkStart w:id="6" w:name="bookmark6"/>
      <w:r>
        <w:rPr>
          <w:color w:val="000000"/>
          <w:spacing w:val="0"/>
          <w:w w:val="100"/>
          <w:position w:val="0"/>
          <w:shd w:val="clear" w:color="auto" w:fill="auto"/>
          <w:lang w:val="ru-RU" w:eastAsia="ru-RU" w:bidi="ru-RU"/>
        </w:rPr>
        <w:t>РЕШИЛА:</w:t>
      </w:r>
      <w:bookmarkEnd w:id="6"/>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ООО «Елецгеоизыскания» на действия Департамента развития новых территорий г. Москвы необоснованной.</w:t>
      </w:r>
    </w:p>
    <w:p>
      <w:pPr>
        <w:pStyle w:val="Style8"/>
        <w:keepNext w:val="0"/>
        <w:keepLines w:val="0"/>
        <w:widowControl w:val="0"/>
        <w:shd w:val="clear" w:color="auto" w:fill="auto"/>
        <w:bidi w:val="0"/>
        <w:spacing w:before="0" w:after="320" w:line="240"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Московским УФАС России.</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3" w:right="527" w:bottom="1311" w:left="1106" w:header="0" w:footer="3" w:gutter="0"/>
          <w:cols w:space="720"/>
          <w:noEndnote/>
          <w:rtlGutter w:val="0"/>
          <w:docGrid w:linePitch="360"/>
        </w:sectPr>
      </w:pPr>
      <w:r>
        <mc:AlternateContent>
          <mc:Choice Requires="wps">
            <w:drawing>
              <wp:anchor distT="139700" distB="210185" distL="0" distR="0" simplePos="0" relativeHeight="125829386" behindDoc="0" locked="0" layoutInCell="1" allowOverlap="1">
                <wp:simplePos x="0" y="0"/>
                <wp:positionH relativeFrom="page">
                  <wp:posOffset>735965</wp:posOffset>
                </wp:positionH>
                <wp:positionV relativeFrom="paragraph">
                  <wp:posOffset>139700</wp:posOffset>
                </wp:positionV>
                <wp:extent cx="1896110" cy="247015"/>
                <wp:wrapTopAndBottom/>
                <wp:docPr id="16" name="Shape 16"/>
                <a:graphic xmlns:a="http://schemas.openxmlformats.org/drawingml/2006/main">
                  <a:graphicData uri="http://schemas.microsoft.com/office/word/2010/wordprocessingShape">
                    <wps:wsp>
                      <wps:cNvSpPr txBox="1"/>
                      <wps:spPr>
                        <a:xfrm>
                          <a:ext cx="189611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2" type="#_x0000_t202" style="position:absolute;margin-left:57.950000000000003pt;margin-top:11.pt;width:149.30000000000001pt;height:19.449999999999999pt;z-index:-125829367;mso-wrap-distance-left:0;mso-wrap-distance-top:11.pt;mso-wrap-distance-right:0;mso-wrap-distance-bottom:16.5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4315" distB="0" distL="0" distR="1807210" simplePos="0" relativeHeight="125829388" behindDoc="0" locked="0" layoutInCell="1" allowOverlap="1">
            <wp:simplePos x="0" y="0"/>
            <wp:positionH relativeFrom="page">
              <wp:posOffset>3131820</wp:posOffset>
            </wp:positionH>
            <wp:positionV relativeFrom="paragraph">
              <wp:posOffset>234315</wp:posOffset>
            </wp:positionV>
            <wp:extent cx="311150" cy="36576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304165</wp:posOffset>
                </wp:positionV>
                <wp:extent cx="1725295" cy="255905"/>
                <wp:wrapNone/>
                <wp:docPr id="20" name="Shape 2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7.55000000000001pt;margin-top:23.949999999999999pt;width:135.84999999999999pt;height:20.150000000000002pt;z-index:251657729;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10185" distL="0" distR="0" simplePos="0" relativeHeight="125829389" behindDoc="0" locked="0" layoutInCell="1" allowOverlap="1">
                <wp:simplePos x="0" y="0"/>
                <wp:positionH relativeFrom="page">
                  <wp:posOffset>6039485</wp:posOffset>
                </wp:positionH>
                <wp:positionV relativeFrom="paragraph">
                  <wp:posOffset>139700</wp:posOffset>
                </wp:positionV>
                <wp:extent cx="1182370" cy="247015"/>
                <wp:wrapTopAndBottom/>
                <wp:docPr id="22" name="Shape 22"/>
                <a:graphic xmlns:a="http://schemas.openxmlformats.org/drawingml/2006/main">
                  <a:graphicData uri="http://schemas.microsoft.com/office/word/2010/wordprocessingShape">
                    <wps:wsp>
                      <wps:cNvSpPr txBox="1"/>
                      <wps:spPr>
                        <a:xfrm>
                          <a:ext cx="118237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8" type="#_x0000_t202" style="position:absolute;margin-left:475.55000000000001pt;margin-top:11.pt;width:93.100000000000009pt;height:19.449999999999999pt;z-index:-125829364;mso-wrap-distance-left:0;mso-wrap-distance-top:11.pt;mso-wrap-distance-right:0;mso-wrap-distance-bottom:16.5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4520" w:right="0" w:firstLine="0"/>
        <w:jc w:val="left"/>
      </w:pPr>
      <w:r>
        <w:rPr>
          <w:b/>
          <w:bCs/>
          <w:color w:val="E8E8E8"/>
          <w:spacing w:val="0"/>
          <w:w w:val="100"/>
          <w:position w:val="0"/>
          <w:shd w:val="clear" w:color="auto" w:fill="auto"/>
          <w:lang w:val="ru-RU" w:eastAsia="ru-RU" w:bidi="ru-RU"/>
        </w:rPr>
        <w:t xml:space="preserve">СВЕДЕНИЯ </w:t>
      </w:r>
      <w:r>
        <w:rPr>
          <w:b/>
          <w:bCs/>
          <w:color w:val="FFFFFF"/>
          <w:spacing w:val="0"/>
          <w:w w:val="100"/>
          <w:position w:val="0"/>
          <w:shd w:val="clear" w:color="auto" w:fill="auto"/>
          <w:lang w:val="ru-RU" w:eastAsia="ru-RU" w:bidi="ru-RU"/>
        </w:rPr>
        <w:t>О СЕРТИФИКАТЕ ЭП</w:t>
      </w:r>
    </w:p>
    <w:p>
      <w:pPr>
        <w:pStyle w:val="Style28"/>
        <w:keepNext w:val="0"/>
        <w:keepLines w:val="0"/>
        <w:widowControl w:val="0"/>
        <w:shd w:val="clear" w:color="auto" w:fill="auto"/>
        <w:bidi w:val="0"/>
        <w:spacing w:before="0" w:after="0" w:line="240" w:lineRule="auto"/>
        <w:ind w:right="0" w:firstLine="0"/>
        <w:jc w:val="left"/>
      </w:pPr>
      <w:r>
        <w:rPr>
          <w:color w:val="666666"/>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Миронова Елена Александровна</w:t>
      </w:r>
    </w:p>
    <w:p>
      <w:pPr>
        <w:pStyle w:val="Style28"/>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00Е9СРАА6ОО6САО20С424А9502ЕС296Е8</w:t>
      </w:r>
      <w:r>
        <w:rPr>
          <w:spacing w:val="0"/>
          <w:w w:val="100"/>
          <w:position w:val="0"/>
          <w:shd w:val="clear" w:color="auto" w:fill="auto"/>
          <w:lang w:val="ru-RU" w:eastAsia="ru-RU" w:bidi="ru-RU"/>
        </w:rPr>
        <w:t>;</w:t>
      </w:r>
    </w:p>
    <w:p>
      <w:pPr>
        <w:pStyle w:val="Style28"/>
        <w:keepNext w:val="0"/>
        <w:keepLines w:val="0"/>
        <w:widowControl w:val="0"/>
        <w:shd w:val="clear" w:color="auto" w:fill="auto"/>
        <w:bidi w:val="0"/>
        <w:spacing w:before="0" w:after="56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82828"/>
          <w:spacing w:val="0"/>
          <w:w w:val="100"/>
          <w:position w:val="0"/>
          <w:shd w:val="clear" w:color="auto" w:fill="auto"/>
          <w:lang w:val="ru-RU" w:eastAsia="ru-RU" w:bidi="ru-RU"/>
        </w:rPr>
        <w:t xml:space="preserve">22.12.2022 </w:t>
      </w:r>
      <w:r>
        <w:rPr>
          <w:color w:val="666666"/>
          <w:spacing w:val="0"/>
          <w:w w:val="100"/>
          <w:position w:val="0"/>
          <w:shd w:val="clear" w:color="auto" w:fill="auto"/>
          <w:lang w:val="ru-RU" w:eastAsia="ru-RU" w:bidi="ru-RU"/>
        </w:rPr>
        <w:t>по 16.03.2024</w:t>
      </w:r>
    </w:p>
    <w:p>
      <w:pPr>
        <w:pStyle w:val="Style8"/>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640" w:line="240" w:lineRule="auto"/>
        <w:ind w:left="0" w:right="0" w:firstLine="820"/>
        <w:jc w:val="left"/>
      </w:pPr>
      <w:r>
        <w:drawing>
          <wp:anchor distT="0" distB="0" distL="114300" distR="1903730" simplePos="0" relativeHeight="125829391" behindDoc="0" locked="0" layoutInCell="1" allowOverlap="1">
            <wp:simplePos x="0" y="0"/>
            <wp:positionH relativeFrom="page">
              <wp:posOffset>3073400</wp:posOffset>
            </wp:positionH>
            <wp:positionV relativeFrom="paragraph">
              <wp:posOffset>38100</wp:posOffset>
            </wp:positionV>
            <wp:extent cx="389890" cy="572770"/>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3569970</wp:posOffset>
                </wp:positionH>
                <wp:positionV relativeFrom="paragraph">
                  <wp:posOffset>476885</wp:posOffset>
                </wp:positionV>
                <wp:extent cx="1280160" cy="103505"/>
                <wp:wrapNone/>
                <wp:docPr id="26" name="Shape 26"/>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bCs/>
                                <w:color w:val="E8E8E8"/>
                                <w:spacing w:val="0"/>
                                <w:w w:val="100"/>
                                <w:position w:val="0"/>
                                <w:shd w:val="clear" w:color="auto" w:fill="auto"/>
                                <w:lang w:val="ru-RU" w:eastAsia="ru-RU" w:bidi="ru-RU"/>
                              </w:rPr>
                              <w:t xml:space="preserve">СВЕДЕНИЯ О СЕРТИФИКАТЕ </w:t>
                            </w:r>
                            <w:r>
                              <w:rPr>
                                <w:rFonts w:ascii="Arial" w:eastAsia="Arial" w:hAnsi="Arial" w:cs="Arial"/>
                                <w:b/>
                                <w:bCs/>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2" type="#_x0000_t202" style="position:absolute;margin-left:281.10000000000002pt;margin-top:37.550000000000004pt;width:100.8pt;height:8.1500000000000004pt;z-index:251657731;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bCs/>
                          <w:color w:val="E8E8E8"/>
                          <w:spacing w:val="0"/>
                          <w:w w:val="100"/>
                          <w:position w:val="0"/>
                          <w:shd w:val="clear" w:color="auto" w:fill="auto"/>
                          <w:lang w:val="ru-RU" w:eastAsia="ru-RU" w:bidi="ru-RU"/>
                        </w:rPr>
                        <w:t xml:space="preserve">СВЕДЕНИЯ О СЕРТИФИКАТЕ </w:t>
                      </w:r>
                      <w:r>
                        <w:rPr>
                          <w:rFonts w:ascii="Arial" w:eastAsia="Arial" w:hAnsi="Arial" w:cs="Arial"/>
                          <w:b/>
                          <w:bCs/>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166370</wp:posOffset>
                </wp:positionV>
                <wp:extent cx="1725295" cy="255905"/>
                <wp:wrapNone/>
                <wp:docPr id="28" name="Shape 2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77.5pt;margin-top:13.1pt;width:135.84999999999999pt;height:20.150000000000002pt;z-index:251657733;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8"/>
        <w:keepNext w:val="0"/>
        <w:keepLines w:val="0"/>
        <w:widowControl w:val="0"/>
        <w:shd w:val="clear" w:color="auto" w:fill="auto"/>
        <w:bidi w:val="0"/>
        <w:spacing w:before="0" w:after="0" w:line="240" w:lineRule="auto"/>
        <w:ind w:right="0" w:firstLine="0"/>
        <w:jc w:val="left"/>
      </w:pPr>
      <w:r>
        <w:rPr>
          <w:color w:val="666666"/>
          <w:spacing w:val="0"/>
          <w:w w:val="100"/>
          <w:position w:val="0"/>
          <w:shd w:val="clear" w:color="auto" w:fill="auto"/>
          <w:lang w:val="ru-RU" w:eastAsia="ru-RU" w:bidi="ru-RU"/>
        </w:rPr>
        <w:t xml:space="preserve">Кому </w:t>
      </w:r>
      <w:r>
        <w:rPr>
          <w:color w:val="7C7C7C"/>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Матюшенко Александр Александрович</w:t>
      </w:r>
    </w:p>
    <w:p>
      <w:pPr>
        <w:pStyle w:val="Style28"/>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44СЕ019Э689ЕВ23598ВССВЕ99Е1С6Е2С</w:t>
      </w:r>
    </w:p>
    <w:p>
      <w:pPr>
        <w:pStyle w:val="Style28"/>
        <w:keepNext w:val="0"/>
        <w:keepLines w:val="0"/>
        <w:widowControl w:val="0"/>
        <w:shd w:val="clear" w:color="auto" w:fill="auto"/>
        <w:bidi w:val="0"/>
        <w:spacing w:before="0" w:after="56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10.04.2023 </w:t>
      </w:r>
      <w:r>
        <w:rPr>
          <w:color w:val="7C7C7C"/>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03.07.2024</w:t>
      </w:r>
    </w:p>
    <w:p>
      <w:pPr>
        <w:pStyle w:val="Style8"/>
        <w:keepNext w:val="0"/>
        <w:keepLines w:val="0"/>
        <w:widowControl w:val="0"/>
        <w:shd w:val="clear" w:color="auto" w:fill="auto"/>
        <w:bidi w:val="0"/>
        <w:spacing w:before="0" w:after="390" w:line="240" w:lineRule="auto"/>
        <w:ind w:left="0" w:right="0" w:firstLine="980"/>
        <w:jc w:val="left"/>
      </w:pPr>
      <w:r>
        <w:drawing>
          <wp:anchor distT="0" distB="0" distL="114300" distR="1921510" simplePos="0" relativeHeight="125829392" behindDoc="0" locked="0" layoutInCell="1" allowOverlap="1">
            <wp:simplePos x="0" y="0"/>
            <wp:positionH relativeFrom="page">
              <wp:posOffset>3131820</wp:posOffset>
            </wp:positionH>
            <wp:positionV relativeFrom="paragraph">
              <wp:posOffset>88900</wp:posOffset>
            </wp:positionV>
            <wp:extent cx="311150" cy="36576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158750</wp:posOffset>
                </wp:positionV>
                <wp:extent cx="1725295" cy="255905"/>
                <wp:wrapNone/>
                <wp:docPr id="32" name="Shape 3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55000000000001pt;margin-top:12.5pt;width:135.84999999999999pt;height:20.150000000000002pt;z-index:251657735;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8"/>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4520" w:right="0" w:firstLine="0"/>
        <w:jc w:val="left"/>
      </w:pPr>
      <w:r>
        <w:rPr>
          <w:b/>
          <w:bCs/>
          <w:color w:val="FFFFFF"/>
          <w:spacing w:val="0"/>
          <w:w w:val="100"/>
          <w:position w:val="0"/>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color w:val="666666"/>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Сорбучева Мария Васильевна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0Э18Е97ОЕ55В5023ВССО395Р903С1 035</w:t>
      </w:r>
    </w:p>
    <w:p>
      <w:pPr>
        <w:pStyle w:val="Style28"/>
        <w:keepNext w:val="0"/>
        <w:keepLines w:val="0"/>
        <w:widowControl w:val="0"/>
        <w:shd w:val="clear" w:color="auto" w:fill="auto"/>
        <w:bidi w:val="0"/>
        <w:spacing w:before="0" w:after="438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03.08.2023 </w:t>
      </w:r>
      <w:r>
        <w:rPr>
          <w:color w:val="666666"/>
          <w:spacing w:val="0"/>
          <w:w w:val="100"/>
          <w:position w:val="0"/>
          <w:shd w:val="clear" w:color="auto" w:fill="auto"/>
          <w:lang w:val="ru-RU" w:eastAsia="ru-RU" w:bidi="ru-RU"/>
        </w:rPr>
        <w:t>по 26.10.2024</w:t>
      </w:r>
    </w:p>
    <w:p>
      <w:pPr>
        <w:pStyle w:val="Style13"/>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53" w:right="527" w:bottom="115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10086340</wp:posOffset>
              </wp:positionV>
              <wp:extent cx="719455" cy="100330"/>
              <wp:wrapNone/>
              <wp:docPr id="14" name="Shape 14"/>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2023-54152</w:t>
                          </w:r>
                        </w:p>
                      </w:txbxContent>
                    </wps:txbx>
                    <wps:bodyPr wrap="none" lIns="0" tIns="0" rIns="0" bIns="0">
                      <a:spAutoFit/>
                    </wps:bodyPr>
                  </wps:wsp>
                </a:graphicData>
              </a:graphic>
            </wp:anchor>
          </w:drawing>
        </mc:Choice>
        <mc:Fallback>
          <w:pict>
            <v:shape id="_x0000_s1040" type="#_x0000_t202" style="position:absolute;margin-left:57.200000000000003pt;margin-top:794.20000000000005pt;width:56.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2023-54152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273050</wp:posOffset>
              </wp:positionV>
              <wp:extent cx="64135" cy="103505"/>
              <wp:wrapNone/>
              <wp:docPr id="2" name="Shape 2"/>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25pt;margin-top:21.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3926840</wp:posOffset>
              </wp:positionH>
              <wp:positionV relativeFrom="page">
                <wp:posOffset>469900</wp:posOffset>
              </wp:positionV>
              <wp:extent cx="64135" cy="103505"/>
              <wp:wrapNone/>
              <wp:docPr id="12" name="Shape 12"/>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309.19999999999999pt;margin-top:37.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5E9B"/>
      <w:sz w:val="19"/>
      <w:szCs w:val="19"/>
      <w:u w:val="none"/>
    </w:rPr>
  </w:style>
  <w:style w:type="character" w:customStyle="1" w:styleId="CharStyle7">
    <w:name w:val="Заголовок №2_"/>
    <w:basedOn w:val="DefaultParagraphFont"/>
    <w:link w:val="Style6"/>
    <w:rPr>
      <w:rFonts w:ascii="Times New Roman" w:eastAsia="Times New Roman" w:hAnsi="Times New Roman" w:cs="Times New Roman"/>
      <w:b w:val="0"/>
      <w:bCs w:val="0"/>
      <w:i w:val="0"/>
      <w:iCs w:val="0"/>
      <w:smallCaps w:val="0"/>
      <w:strike w:val="0"/>
      <w:sz w:val="30"/>
      <w:szCs w:val="30"/>
      <w:u w:val="singl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Заголовок №1_"/>
    <w:basedOn w:val="DefaultParagraphFont"/>
    <w:link w:val="Style11"/>
    <w:rPr>
      <w:rFonts w:ascii="Arial" w:eastAsia="Arial" w:hAnsi="Arial" w:cs="Arial"/>
      <w:b w:val="0"/>
      <w:bCs w:val="0"/>
      <w:i w:val="0"/>
      <w:iCs w:val="0"/>
      <w:smallCaps w:val="0"/>
      <w:strike w:val="0"/>
      <w:sz w:val="34"/>
      <w:szCs w:val="34"/>
      <w:u w:val="none"/>
    </w:rPr>
  </w:style>
  <w:style w:type="character" w:customStyle="1" w:styleId="CharStyle14">
    <w:name w:val="Основной текст (4)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Заголовок №3_"/>
    <w:basedOn w:val="DefaultParagraphFont"/>
    <w:link w:val="Style19"/>
    <w:rPr>
      <w:rFonts w:ascii="Times New Roman" w:eastAsia="Times New Roman" w:hAnsi="Times New Roman" w:cs="Times New Roman"/>
      <w:b/>
      <w:bCs/>
      <w:i w:val="0"/>
      <w:iCs w:val="0"/>
      <w:smallCaps w:val="0"/>
      <w:strike w:val="0"/>
      <w:sz w:val="28"/>
      <w:szCs w:val="28"/>
      <w:u w:val="none"/>
    </w:rPr>
  </w:style>
  <w:style w:type="character" w:customStyle="1" w:styleId="CharStyle24">
    <w:name w:val="Подпись к картинке_"/>
    <w:basedOn w:val="DefaultParagraphFont"/>
    <w:link w:val="Style23"/>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3C3C3C"/>
      <w:sz w:val="12"/>
      <w:szCs w:val="1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45E9B"/>
      <w:sz w:val="19"/>
      <w:szCs w:val="19"/>
      <w:u w:val="none"/>
    </w:rPr>
  </w:style>
  <w:style w:type="paragraph" w:customStyle="1" w:styleId="Style6">
    <w:name w:val="Заголовок №2"/>
    <w:basedOn w:val="Normal"/>
    <w:link w:val="CharStyle7"/>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8">
    <w:name w:val="Основной текст"/>
    <w:basedOn w:val="Normal"/>
    <w:link w:val="CharStyle9"/>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Заголовок №1"/>
    <w:basedOn w:val="Normal"/>
    <w:link w:val="CharStyle12"/>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3">
    <w:name w:val="Основной текст (4)"/>
    <w:basedOn w:val="Normal"/>
    <w:link w:val="CharStyle14"/>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Заголовок №3"/>
    <w:basedOn w:val="Normal"/>
    <w:link w:val="CharStyle20"/>
    <w:pPr>
      <w:widowControl w:val="0"/>
      <w:shd w:val="clear" w:color="auto" w:fill="auto"/>
      <w:spacing w:after="320" w:line="245" w:lineRule="auto"/>
      <w:jc w:val="center"/>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23">
    <w:name w:val="Подпись к картинке"/>
    <w:basedOn w:val="Normal"/>
    <w:link w:val="CharStyle2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8">
    <w:name w:val="Основной текст (2)"/>
    <w:basedOn w:val="Normal"/>
    <w:link w:val="CharStyle29"/>
    <w:pPr>
      <w:widowControl w:val="0"/>
      <w:shd w:val="clear" w:color="auto" w:fill="auto"/>
      <w:spacing w:after="50"/>
      <w:ind w:left="3820"/>
    </w:pPr>
    <w:rPr>
      <w:rFonts w:ascii="Arial" w:eastAsia="Arial" w:hAnsi="Arial" w:cs="Arial"/>
      <w:b w:val="0"/>
      <w:bCs w:val="0"/>
      <w:i w:val="0"/>
      <w:iCs w:val="0"/>
      <w:smallCaps w:val="0"/>
      <w:strike w:val="0"/>
      <w:color w:val="3C3C3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