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1780540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720090</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0.11.2023</w:t>
                              <w:tab/>
                            </w:r>
                            <w:r>
                              <w:fldChar w:fldCharType="end"/>
                            </w:r>
                            <w:r>
                              <w:rPr>
                                <w:color w:val="000000"/>
                                <w:spacing w:val="0"/>
                                <w:w w:val="100"/>
                                <w:position w:val="0"/>
                                <w:sz w:val="30"/>
                                <w:szCs w:val="30"/>
                                <w:u w:val="single"/>
                                <w:shd w:val="clear" w:color="auto" w:fill="auto"/>
                                <w:lang w:val="ru-RU" w:eastAsia="ru-RU" w:bidi="ru-RU"/>
                              </w:rPr>
                              <w:t>№ 48005/23</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00000000000003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0.11.2023</w:t>
                        <w:tab/>
                      </w:r>
                      <w:r>
                        <w:fldChar w:fldCharType="end"/>
                      </w:r>
                      <w:r>
                        <w:rPr>
                          <w:color w:val="000000"/>
                          <w:spacing w:val="0"/>
                          <w:w w:val="100"/>
                          <w:position w:val="0"/>
                          <w:sz w:val="30"/>
                          <w:szCs w:val="30"/>
                          <w:u w:val="single"/>
                          <w:shd w:val="clear" w:color="auto" w:fill="auto"/>
                          <w:lang w:val="ru-RU" w:eastAsia="ru-RU" w:bidi="ru-RU"/>
                        </w:rPr>
                        <w:t>№ 48005/23</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АО «ЕЭТП» ко@го8екогд.ги</w: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ИП. Жуланов Е.А.</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/1и|1а110у85@таП.П1</w: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ГБУЗ «ГП № 22 ДЗМ»</w:t>
      </w:r>
    </w:p>
    <w:p>
      <w:pPr>
        <w:pStyle w:val="Style6"/>
        <w:keepNext w:val="0"/>
        <w:keepLines w:val="0"/>
        <w:widowControl w:val="0"/>
        <w:shd w:val="clear" w:color="auto" w:fill="auto"/>
        <w:bidi w:val="0"/>
        <w:spacing w:before="0" w:after="2340" w:line="240" w:lineRule="auto"/>
        <w:ind w:left="1040" w:right="0" w:firstLine="0"/>
        <w:jc w:val="both"/>
      </w:pPr>
      <w:r>
        <w:rPr>
          <w:color w:val="000000"/>
          <w:spacing w:val="0"/>
          <w:w w:val="100"/>
          <w:position w:val="0"/>
          <w:shd w:val="clear" w:color="auto" w:fill="auto"/>
          <w:lang w:val="ru-RU" w:eastAsia="ru-RU" w:bidi="ru-RU"/>
        </w:rPr>
        <w:t>1е88ЕО5@тай.ги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077/06/106-15664/2023 о нарушении</w:t>
        <w:br/>
        <w:t>законодательства о контрактной системе</w:t>
        <w:br/>
        <w:t>07.11.2023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А.И. Рахматуллаева,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представителей: ГБУЗ «ГП № 22 ДЗМ», ИП. Жуланов Е.А.,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жалобу ИП. Жуланов Е.А. (далее — Заявитель) на действия ГБУЗ «ГП № 22 ДЗМ» (далее — Заказчик) при проведении электронного аукциона на право заключения государственного контракта на поставку расходного материала медицинского назначения (шприцы) для нужд ГБУЗ «ГП № 22 ДЗМ» (Закупка №0373200561723000118)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УСТАНОВИЛА:</w:t>
      </w:r>
      <w:bookmarkEnd w:id="0"/>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numPr>
          <w:ilvl w:val="0"/>
          <w:numId w:val="1"/>
        </w:numPr>
        <w:shd w:val="clear" w:color="auto" w:fill="auto"/>
        <w:tabs>
          <w:tab w:pos="10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1"/>
        </w:numPr>
        <w:shd w:val="clear" w:color="auto" w:fill="auto"/>
        <w:tabs>
          <w:tab w:pos="10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Pr>
          <w:color w:val="000000"/>
          <w:spacing w:val="0"/>
          <w:w w:val="100"/>
          <w:position w:val="0"/>
          <w:shd w:val="clear" w:color="auto" w:fill="auto"/>
          <w:lang w:val="ru-RU" w:eastAsia="ru-RU" w:bidi="ru-RU"/>
        </w:rPr>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Согласно доводам жалобы по п.1-5 Заказчиком установлены дополнительные требования к товарам не предусмотренные позицией Каталога товаров, работ, услуг при этом Заказчиком не размещено обоснование установления данных требований.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w:t>
      </w:r>
      <w:r>
        <w:rPr>
          <w:color w:val="000000"/>
          <w:spacing w:val="0"/>
          <w:w w:val="100"/>
          <w:position w:val="0"/>
          <w:shd w:val="clear" w:color="auto" w:fill="auto"/>
          <w:lang w:val="ru-RU" w:eastAsia="ru-RU" w:bidi="ru-RU"/>
        </w:rPr>
        <w:t>муниципальных нужд (далее — 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пп. «б» - «г» и «е» - «з» п.10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5"/>
        </w:numPr>
        <w:shd w:val="clear" w:color="auto" w:fill="auto"/>
        <w:tabs>
          <w:tab w:pos="106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товара, работы, услуги;</w:t>
      </w:r>
    </w:p>
    <w:p>
      <w:pPr>
        <w:pStyle w:val="Style6"/>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5"/>
        </w:numPr>
        <w:shd w:val="clear" w:color="auto" w:fill="auto"/>
        <w:tabs>
          <w:tab w:pos="107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numPr>
          <w:ilvl w:val="0"/>
          <w:numId w:val="5"/>
        </w:numPr>
        <w:shd w:val="clear" w:color="auto" w:fill="auto"/>
        <w:tabs>
          <w:tab w:pos="104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пп.«а» п.13 Правил формирования КТРУ установлено, что в описание товара, работы, услуги в соответствии с требованиями ст.33 Закона о контрактной системе включается информация о потребительских свойствах и иных характеристиках товара, работы, услуги, в том числе функциональных, технических, качественных характеристиках, эксплуатационных характеристиках (при необходимости).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п.6 Правил использования КТРУ в случае предоставления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например, по п.1 «Шприц инсулиновый/убираемая игла» Заказчиком применена позиция КТРУ 32.50.13.110</w:t>
        <w:softHyphen/>
        <w:t>03189. Согласно данной позиции описана следующая характеристика: «Объем: &gt; 0.5 и &lt; 1».</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Комиссией Управления установлено, что, с характеристиками, предусмотренными позицией КТРУ также установлены такие дополнительные </w:t>
      </w:r>
      <w:r>
        <w:rPr>
          <w:color w:val="000000"/>
          <w:spacing w:val="0"/>
          <w:w w:val="100"/>
          <w:position w:val="0"/>
          <w:shd w:val="clear" w:color="auto" w:fill="auto"/>
          <w:lang w:val="ru-RU" w:eastAsia="ru-RU" w:bidi="ru-RU"/>
        </w:rPr>
        <w:t>характеристики как, например:</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«Изделие не содержит латекс: Наличие.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Размер иглы, О: &gt;= 26 &lt;= 30.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Тип шприца: Трехкомпонентный.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Упаковка стерильная: Наличие».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Заказчиком не представлено обоснование установления данных требований.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по своей сути, указанное обоснование использования дополнительных характеристик не раскрывает необходимости использования всех установленных дополнительных характеристик, не предусмотренных позицией КТРУ, ввиду чего не может считаться надлежащим исполнением п.6 Правил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01.11.2023 в Извещение были внесены изменения и размещены обоснования установления дополнительных характеристик по п.1-5.</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об обоснованности данного довода жалобы и о нарушении Заказчиком положений ч.6 ст.23 Закона о контрактной системе, что также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numPr>
          <w:ilvl w:val="0"/>
          <w:numId w:val="7"/>
        </w:numPr>
        <w:shd w:val="clear" w:color="auto" w:fill="auto"/>
        <w:tabs>
          <w:tab w:pos="11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доводам жалобы Заказчиком по п.17-21 «Шприц общего назначения» установлена позиция КТРУ 32.50.13.110-00004564, при этом Заказчиком установлена дополнительная характеристика «Надетая игла имеет срез с углом заточки (40±2)°», а также установлено обоснование установление данного требования: «Игла с плоской заточкой предназначена исключительно для набора лекарственного средства, преимущественно из флаконов с резиновыми пробками, для предотвращения вырезания материала пробки при прокалывания ее иглой». По мнению Заявителя представленное обоснование носит формальный характер. Так изготовление инъекционных стерильных игл однократного применения регулируется ГОСТом 7864-2011 «Иглы инъекционные однократного применения стерильные», согласно которому разделом 12 «Острие иглы» предусмотрено: «Угол заточки иглы обычно имеет срез под углом (112) °, но допускается использовать «короткий» срез под углом (172) °».</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ГОСТ Р ИСО 9626-2020 «Трубки игольные из нержавеющей стали для изготовления медицинских изделий. Требования и методы испытаний» и ГОСТ Р ИСО 6009-2020 «Иглы инъекционные однократного применения. Цветовое кодирование» не предъявляет требование к углу заточки иглы.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согласно ГОСТ 180 7864-2011 (который регулирует стандарт инъекционных игл) в п.12 Острие иглы содержится следующее: «Размеры острия иглы и обозначения показаны на рисунке 2 как справочные. Допускается и другие конфигурации острия иглы. Острие иглы должно быть изготовлено таким образом, чтобы при прокалывании резиновой пробки флакона свести к минимуму закупорку иглы и образование частичек пробки. Стандарт не определяет требования этих свойств». Таким образом ГОСТ 180 7864-2011 подтверждает, что перечисленные срезы углы идут как справочные, касается в основном инъекционных игл и никаким образом не запрещает выпуск других размер острие иглы.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ГОСТ 25725-89 (СТ СЭВ 3401-81, СТ СЭВ 4902-84, СТ СЭВ 6345-88) «Инструменты медицинские. Термины и определения» игла тупоконечная с плоской заточкой является колющим медицинским инструментом вида трубчатая игла пункта 23: Вспомогательная игла (Трубчатая игла для различных манипуляций, не связанных с прониканием в ткань организма). В соответствии с Приложением А (обязательное) «Основные показатели, устанавливаемые в стандартах, технических условиях и рабочих чертежах на инструменты конкретных видов» ГОСТ 19126-2007 «Инструменты медицинские металлические. Общие технические условия» угол заточки трубчатой (полой) иглы устанавливается в стандартах или технических условиях и в рабочих чертежах.</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Шприцы с плоской заточкой, позволят избежать риск микроэмболии пациента частицами резиновой пробки и уменьшить риск медицинского персонала при подготовке инъекции. Ведущие мировые производители медицинских изделий (Вес^оп^^ск^п8оп, Ва\1ег) в соответствии с современными клиническими практиками имеют в своем ассортименте шприцы с плоской заточкой, позволяющие избежать риска микроэмболии пациента частицами резиновой пробки и уменьшить риск медицинского персонала при подготовке инъекции.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представленных документов и сведений, пояснений представителей Заказчика и Заявителя Комиссия приходит к выводу, что Заказчиком при установлении дополнительных требований к предмету закупки соблюдены положения Закона о контрактной системе и Постановления № 145 в части обоснования необходимости использования дополнительной информации о закупаемом товаре.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Комиссия Управления приходит к выводу, что доводы жалобы Заявителя не нашли своего подтверждения и являются необоснованными</w:t>
      </w:r>
    </w:p>
    <w:p>
      <w:pPr>
        <w:pStyle w:val="Style6"/>
        <w:keepNext w:val="0"/>
        <w:keepLines w:val="0"/>
        <w:widowControl w:val="0"/>
        <w:numPr>
          <w:ilvl w:val="0"/>
          <w:numId w:val="7"/>
        </w:numPr>
        <w:shd w:val="clear" w:color="auto" w:fill="auto"/>
        <w:tabs>
          <w:tab w:pos="11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доводам жалобы Заказчиком установлены противоречивые требования к поставляемым товарам.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например, по п. 6 «Шприц общего назначения» Заказчиком установлены требования: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«Длина иглы: &gt;= 30 &lt; 40 мм.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Размер иглы, О: &gt;=20&lt;=23».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то же время в обосновании дополнительных характеристик Заказчик </w:t>
      </w:r>
      <w:r>
        <w:rPr>
          <w:color w:val="000000"/>
          <w:spacing w:val="0"/>
          <w:w w:val="100"/>
          <w:position w:val="0"/>
          <w:shd w:val="clear" w:color="auto" w:fill="auto"/>
          <w:lang w:val="ru-RU" w:eastAsia="ru-RU" w:bidi="ru-RU"/>
        </w:rPr>
        <w:t>предъявляет требования к конкретным размерам иглы - «Размеры иглы 216 х 1 1/2" (0,8х40 мм)».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исходя из вышеуказанных требований участники закупки имеют возможность предложить иглу длиной 30 мм, что в данном случае не будет соответствовать требованиям Заказчика.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п.1 ч.1 ст.33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numPr>
          <w:ilvl w:val="0"/>
          <w:numId w:val="7"/>
        </w:numPr>
        <w:shd w:val="clear" w:color="auto" w:fill="auto"/>
        <w:tabs>
          <w:tab w:pos="11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Заявителем также указано, что Заказчиком установлены неправомерные требования к товару по п.6 «Шприц общего назначения»: «Номинальный объем - 2 мл и Шаг градуировки - 0,1мл», поскольку в соответствии с положениями П. 10.1.1. ГОСТ 180 7886-1-2011 «Шприцы инъекционные однократного применения стерильные» шкала шприца должна быть градуирована делениями в соответствии с таблице 1. Двойная шкала не допускается. При этом для шприца объемом 2,5 деления шкалы 0,2 мл.</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согласившись с доводом жалобы представитель Заказчика указал, что согласно примечанию к ГОСТ 180 7886-1-2011 допускается дополнительная градуировка внутри шкалы или на ее продолжении. Таким образом от производителя зависит, какие именно дополнительные деления шкалы указывать в шприцах, главное придерживаться минимальным требованиям ГОСТ. Наличие деление шкалы 0,1мл у шприца, снижает риск ошибок медицинского персонала при введении лекарственных препаратов, требующих особо точных дозировок. Если участник предложит шприц, имеющие основную шкалу 0,2мл и дополнительную шкалу 0,1мл данная заявка будет соответствовать требованиям заказчика и технического задания. Названное означает, что ГОСТ 180 7886-1</w:t>
        <w:softHyphen/>
        <w:t>2011 регулирует минимальные технические требования к шприцам, однако в примечании указано, что данный стандарт можно улучшать. То есть, на примере если ГОСТ 180 7886-1-2011 указывает на градуировку шприца вместимостью 2 мл деление шкалы составляет 0,2мл, то примечание говорит о том, что данные показатели можно улучшать, то есть сделать к примеру следующее деление шкалы: 0,1мл, 0,5мл, 0,25мл и т. д.</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на заседании Комиссии Управления Заявитель, а также в составе жалобы Заявителем не представлено документов и сведений, свидетельствующих о невозможности формирования заявки в соответствии с требованиями извещения, а также не представлено доказательств, обосновывающие обстоятельства, на которые ссылается Заявитель, ввиду чего у Комиссии Управления отсутствуют правовые основания для признания Заказчика нарушившим требования.</w:t>
      </w:r>
    </w:p>
    <w:p>
      <w:pPr>
        <w:pStyle w:val="Style6"/>
        <w:keepNext w:val="0"/>
        <w:keepLines w:val="0"/>
        <w:widowControl w:val="0"/>
        <w:numPr>
          <w:ilvl w:val="0"/>
          <w:numId w:val="7"/>
        </w:numPr>
        <w:shd w:val="clear" w:color="auto" w:fill="auto"/>
        <w:tabs>
          <w:tab w:pos="11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жалобе Заявитель указывает, что Заказчиком установлены неправомерные требования к закупаемым товарам по п. «Шприцы общего назначения» совокупности которых соответствует продукция единственного производителя, а именно ООО «Паскаль Медикал» по регистрационному удостоверению № РЗН 2018/7245 01.02.2021, что ограничивает количество участников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представитель Заказчика указал, что помимо продукции, указанной в составе жалобы Заявителя требованиям закупочной документации также соответствует товары производства АО «Медполимер ЛТД» по регистрационному удостоверению №ФСР 2010/07477 от 17.11.2020.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представитель Заявителя пояснил, что согласно инструкции на шприцы производства АО «Медполимер ЛТД», размещенной на сайте Росздравнадзора, у указанного товара присутствуют иглы инъекционные, при этом сведения о наличии игл с плоской заточкой не представлено, что требуется в составе технической части закупочной документации: «Одна из игл должна иметь плоскую заточку, угол заточки должен составлять 40±2°».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иных сведений, свидетельствующих о соответствии продукции АО «Медполимер ЛТД» требованиям документации Заказчиком не представлено.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а также с учетом пояснений представителя Заказчика, Комиссия Управления приходит к выводу об обоснованности доводов жалобы и о нарушении Заказчиком положений п.1 ч.1 ст.33 Закона о контрактной системе при формировании описания объекта закупки, что, в свою очередь, содержит признаки состава административного правонарушения, предусмотренного ч.4.1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58" w:right="542" w:bottom="1666" w:left="110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3"/>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Р Е Ш И Л А:</w:t>
      </w:r>
      <w:bookmarkEnd w:id="2"/>
    </w:p>
    <w:p>
      <w:pPr>
        <w:pStyle w:val="Style6"/>
        <w:keepNext w:val="0"/>
        <w:keepLines w:val="0"/>
        <w:widowControl w:val="0"/>
        <w:numPr>
          <w:ilvl w:val="0"/>
          <w:numId w:val="9"/>
        </w:numPr>
        <w:shd w:val="clear" w:color="auto" w:fill="auto"/>
        <w:tabs>
          <w:tab w:pos="1218"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жалобу ИП. Жуланов Е.А. на действия ГБУЗ «ГП № 22 ДЗМ» обоснованной в части неправомерного описания объекта закупочной процедуры.</w:t>
      </w:r>
    </w:p>
    <w:p>
      <w:pPr>
        <w:pStyle w:val="Style6"/>
        <w:keepNext w:val="0"/>
        <w:keepLines w:val="0"/>
        <w:widowControl w:val="0"/>
        <w:numPr>
          <w:ilvl w:val="0"/>
          <w:numId w:val="9"/>
        </w:numPr>
        <w:shd w:val="clear" w:color="auto" w:fill="auto"/>
        <w:tabs>
          <w:tab w:pos="1218"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в действиях Заказчика нарушение положений ч.6 ст.23, п.1 ч.1 ст.33 Закона о контрактной системе.</w:t>
      </w:r>
    </w:p>
    <w:p>
      <w:pPr>
        <w:pStyle w:val="Style6"/>
        <w:keepNext w:val="0"/>
        <w:keepLines w:val="0"/>
        <w:widowControl w:val="0"/>
        <w:numPr>
          <w:ilvl w:val="0"/>
          <w:numId w:val="9"/>
        </w:numPr>
        <w:shd w:val="clear" w:color="auto" w:fill="auto"/>
        <w:tabs>
          <w:tab w:pos="122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Выдать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9"/>
        </w:numPr>
        <w:shd w:val="clear" w:color="auto" w:fill="auto"/>
        <w:tabs>
          <w:tab w:pos="1227" w:val="left"/>
        </w:tabs>
        <w:bidi w:val="0"/>
        <w:spacing w:before="0" w:after="200" w:line="240" w:lineRule="auto"/>
        <w:ind w:left="0" w:right="0" w:firstLine="86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9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32" w:bottom="3832" w:left="1106" w:header="0" w:footer="3" w:gutter="0"/>
          <w:cols w:space="720"/>
          <w:noEndnote/>
          <w:rtlGutter w:val="0"/>
          <w:docGrid w:linePitch="360"/>
        </w:sectPr>
      </w:pPr>
      <w:r>
        <mc:AlternateContent>
          <mc:Choice Requires="wps">
            <w:drawing>
              <wp:anchor distT="279400" distB="203835" distL="0" distR="0" simplePos="0" relativeHeight="125829381" behindDoc="0" locked="0" layoutInCell="1" allowOverlap="1">
                <wp:simplePos x="0" y="0"/>
                <wp:positionH relativeFrom="page">
                  <wp:posOffset>735965</wp:posOffset>
                </wp:positionH>
                <wp:positionV relativeFrom="paragraph">
                  <wp:posOffset>279400</wp:posOffset>
                </wp:positionV>
                <wp:extent cx="1850390" cy="250190"/>
                <wp:wrapTopAndBottom/>
                <wp:docPr id="11" name="Shape 11"/>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7" type="#_x0000_t202" style="position:absolute;margin-left:57.950000000000003pt;margin-top:22.pt;width:145.70000000000002pt;height:19.699999999999999pt;z-index:-125829372;mso-wrap-distance-left:0;mso-wrap-distance-top:22.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70840" distB="0" distL="0" distR="1807210" simplePos="0" relativeHeight="125829383" behindDoc="0" locked="0" layoutInCell="1" allowOverlap="1">
            <wp:simplePos x="0" y="0"/>
            <wp:positionH relativeFrom="page">
              <wp:posOffset>3128645</wp:posOffset>
            </wp:positionH>
            <wp:positionV relativeFrom="paragraph">
              <wp:posOffset>370840</wp:posOffset>
            </wp:positionV>
            <wp:extent cx="311150" cy="36576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3521710</wp:posOffset>
                </wp:positionH>
                <wp:positionV relativeFrom="paragraph">
                  <wp:posOffset>440690</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77.30000000000001pt;margin-top:34.700000000000003pt;width:135.84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203835" distL="0" distR="0" simplePos="0" relativeHeight="125829384" behindDoc="0" locked="0" layoutInCell="1" allowOverlap="1">
                <wp:simplePos x="0" y="0"/>
                <wp:positionH relativeFrom="page">
                  <wp:posOffset>5908675</wp:posOffset>
                </wp:positionH>
                <wp:positionV relativeFrom="paragraph">
                  <wp:posOffset>279400</wp:posOffset>
                </wp:positionV>
                <wp:extent cx="1307465" cy="250190"/>
                <wp:wrapTopAndBottom/>
                <wp:docPr id="17" name="Shape 17"/>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wps:txbx>
                      <wps:bodyPr wrap="none" lIns="0" tIns="0" rIns="0" bIns="0">
                        <a:noAutoFit/>
                      </wps:bodyPr>
                    </wps:wsp>
                  </a:graphicData>
                </a:graphic>
              </wp:anchor>
            </w:drawing>
          </mc:Choice>
          <mc:Fallback>
            <w:pict>
              <v:shape id="_x0000_s1043" type="#_x0000_t202" style="position:absolute;margin-left:465.25pt;margin-top:22.pt;width:102.95pt;height:19.699999999999999pt;z-index:-125829369;mso-wrap-distance-left:0;mso-wrap-distance-top:22.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v:textbox>
                <w10:wrap type="topAndBottom" anchorx="page"/>
              </v:shape>
            </w:pict>
          </mc:Fallback>
        </mc:AlternateContent>
      </w:r>
    </w:p>
    <w:p>
      <w:pPr>
        <w:pStyle w:val="Style2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Кутейников Антон Андреевич</w:t>
      </w:r>
    </w:p>
    <w:p>
      <w:pPr>
        <w:pStyle w:val="Style22"/>
        <w:keepNext w:val="0"/>
        <w:keepLines w:val="0"/>
        <w:widowControl w:val="0"/>
        <w:shd w:val="clear" w:color="auto" w:fill="auto"/>
        <w:bidi w:val="0"/>
        <w:spacing w:before="0" w:after="0" w:line="240" w:lineRule="auto"/>
        <w:ind w:right="0" w:firstLine="0"/>
        <w:jc w:val="left"/>
      </w:pPr>
      <w:r>
        <w:rPr>
          <w:color w:val="29292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6366183222Р5ОСЕ2САЗЕ6О732820С91 </w:t>
      </w:r>
      <w:r>
        <w:rPr>
          <w:color w:val="292929"/>
          <w:spacing w:val="0"/>
          <w:w w:val="100"/>
          <w:position w:val="0"/>
          <w:shd w:val="clear" w:color="auto" w:fill="auto"/>
          <w:lang w:val="ru-RU" w:eastAsia="ru-RU" w:bidi="ru-RU"/>
        </w:rPr>
        <w:t>С</w:t>
      </w:r>
    </w:p>
    <w:p>
      <w:pPr>
        <w:pStyle w:val="Style22"/>
        <w:keepNext w:val="0"/>
        <w:keepLines w:val="0"/>
        <w:widowControl w:val="0"/>
        <w:shd w:val="clear" w:color="auto" w:fill="auto"/>
        <w:bidi w:val="0"/>
        <w:spacing w:before="0" w:after="180" w:line="240" w:lineRule="auto"/>
        <w:ind w:right="0" w:firstLine="0"/>
        <w:jc w:val="left"/>
      </w:pPr>
      <w:r>
        <w:rPr>
          <w:spacing w:val="0"/>
          <w:w w:val="100"/>
          <w:position w:val="0"/>
          <w:shd w:val="clear" w:color="auto" w:fill="auto"/>
          <w:lang w:val="ru-RU" w:eastAsia="ru-RU" w:bidi="ru-RU"/>
        </w:rPr>
        <w:t xml:space="preserve">Действителен </w:t>
      </w:r>
      <w:r>
        <w:rPr>
          <w:color w:val="292929"/>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23.01.2023 по 17.04.2024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20" w:line="240" w:lineRule="auto"/>
        <w:ind w:left="0" w:right="0" w:firstLine="660"/>
        <w:jc w:val="left"/>
      </w:pPr>
      <w:r>
        <w:drawing>
          <wp:anchor distT="0" distB="0" distL="114300" distR="1903730" simplePos="0" relativeHeight="125829386" behindDoc="0" locked="0" layoutInCell="1" allowOverlap="1">
            <wp:simplePos x="0" y="0"/>
            <wp:positionH relativeFrom="page">
              <wp:posOffset>3070860</wp:posOffset>
            </wp:positionH>
            <wp:positionV relativeFrom="paragraph">
              <wp:posOffset>25400</wp:posOffset>
            </wp:positionV>
            <wp:extent cx="389890" cy="57277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464185</wp:posOffset>
                </wp:positionV>
                <wp:extent cx="1280160" cy="103505"/>
                <wp:wrapNone/>
                <wp:docPr id="21" name="Shape 2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80.90000000000003pt;margin-top:36.550000000000004pt;width:100.8pt;height:8.15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3521710</wp:posOffset>
                </wp:positionH>
                <wp:positionV relativeFrom="paragraph">
                  <wp:posOffset>153670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30000000000001pt;margin-top:12.1pt;width:135.84999999999999pt;height:20.15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Рахматуллаев Алексей Ильич</w:t>
      </w:r>
    </w:p>
    <w:p>
      <w:pPr>
        <w:pStyle w:val="Style22"/>
        <w:keepNext w:val="0"/>
        <w:keepLines w:val="0"/>
        <w:widowControl w:val="0"/>
        <w:shd w:val="clear" w:color="auto" w:fill="auto"/>
        <w:bidi w:val="0"/>
        <w:spacing w:before="0" w:after="0" w:line="240" w:lineRule="auto"/>
        <w:ind w:right="0" w:firstLine="0"/>
        <w:jc w:val="left"/>
      </w:pPr>
      <w:r>
        <w:rPr>
          <w:color w:val="29292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78787"/>
          <w:spacing w:val="0"/>
          <w:w w:val="100"/>
          <w:position w:val="0"/>
          <w:shd w:val="clear" w:color="auto" w:fill="auto"/>
          <w:lang w:val="ru-RU" w:eastAsia="ru-RU" w:bidi="ru-RU"/>
        </w:rPr>
        <w:t>11</w:t>
      </w:r>
      <w:r>
        <w:rPr>
          <w:color w:val="292929"/>
          <w:spacing w:val="0"/>
          <w:w w:val="100"/>
          <w:position w:val="0"/>
          <w:shd w:val="clear" w:color="auto" w:fill="auto"/>
          <w:lang w:val="ru-RU" w:eastAsia="ru-RU" w:bidi="ru-RU"/>
        </w:rPr>
        <w:t>ВЗВО45854ОЕВ6С993Е00602С0ЕВЕЕС</w:t>
      </w:r>
    </w:p>
    <w:p>
      <w:pPr>
        <w:pStyle w:val="Style22"/>
        <w:keepNext w:val="0"/>
        <w:keepLines w:val="0"/>
        <w:widowControl w:val="0"/>
        <w:shd w:val="clear" w:color="auto" w:fill="auto"/>
        <w:bidi w:val="0"/>
        <w:spacing w:before="0" w:after="1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92929"/>
          <w:spacing w:val="0"/>
          <w:w w:val="100"/>
          <w:position w:val="0"/>
          <w:shd w:val="clear" w:color="auto" w:fill="auto"/>
          <w:lang w:val="ru-RU" w:eastAsia="ru-RU" w:bidi="ru-RU"/>
        </w:rPr>
        <w:t xml:space="preserve">07.09.2023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30.11.2024</w:t>
      </w:r>
    </w:p>
    <w:p>
      <w:pPr>
        <w:pStyle w:val="Style6"/>
        <w:keepNext w:val="0"/>
        <w:keepLines w:val="0"/>
        <w:widowControl w:val="0"/>
        <w:shd w:val="clear" w:color="auto" w:fill="auto"/>
        <w:bidi w:val="0"/>
        <w:spacing w:before="0" w:after="395" w:line="240" w:lineRule="auto"/>
        <w:ind w:left="1560" w:right="0" w:firstLine="0"/>
        <w:jc w:val="left"/>
      </w:pPr>
      <w:r>
        <w:drawing>
          <wp:anchor distT="0" distB="0" distL="114300" distR="1921510" simplePos="0" relativeHeight="125829387" behindDoc="0" locked="0" layoutInCell="1" allowOverlap="1">
            <wp:simplePos x="0" y="0"/>
            <wp:positionH relativeFrom="page">
              <wp:posOffset>3128645</wp:posOffset>
            </wp:positionH>
            <wp:positionV relativeFrom="paragraph">
              <wp:posOffset>76200</wp:posOffset>
            </wp:positionV>
            <wp:extent cx="311150" cy="3657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3521710</wp:posOffset>
                </wp:positionH>
                <wp:positionV relativeFrom="paragraph">
                  <wp:posOffset>146050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30000000000001pt;margin-top:11.5pt;width:135.84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Узкий Николай Александрович</w:t>
      </w:r>
    </w:p>
    <w:p>
      <w:pPr>
        <w:pStyle w:val="Style22"/>
        <w:keepNext w:val="0"/>
        <w:keepLines w:val="0"/>
        <w:widowControl w:val="0"/>
        <w:shd w:val="clear" w:color="auto" w:fill="auto"/>
        <w:bidi w:val="0"/>
        <w:spacing w:before="0" w:after="0" w:line="240" w:lineRule="auto"/>
        <w:ind w:right="0" w:firstLine="0"/>
        <w:jc w:val="left"/>
      </w:pPr>
      <w:r>
        <w:rPr>
          <w:color w:val="29292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92929"/>
          <w:spacing w:val="0"/>
          <w:w w:val="100"/>
          <w:position w:val="0"/>
          <w:shd w:val="clear" w:color="auto" w:fill="auto"/>
          <w:lang w:val="ru-RU" w:eastAsia="ru-RU" w:bidi="ru-RU"/>
        </w:rPr>
        <w:t>00СС5А1А1С3030775Е8423Р1</w:t>
      </w:r>
      <w:r>
        <w:rPr>
          <w:spacing w:val="0"/>
          <w:w w:val="100"/>
          <w:position w:val="0"/>
          <w:shd w:val="clear" w:color="auto" w:fill="auto"/>
          <w:lang w:val="ru-RU" w:eastAsia="ru-RU" w:bidi="ru-RU"/>
        </w:rPr>
        <w:t>1867182162</w:t>
      </w:r>
    </w:p>
    <w:p>
      <w:pPr>
        <w:pStyle w:val="Style22"/>
        <w:keepNext w:val="0"/>
        <w:keepLines w:val="0"/>
        <w:widowControl w:val="0"/>
        <w:shd w:val="clear" w:color="auto" w:fill="auto"/>
        <w:bidi w:val="0"/>
        <w:spacing w:before="0" w:after="700" w:line="240" w:lineRule="auto"/>
        <w:ind w:right="0" w:firstLine="0"/>
        <w:jc w:val="left"/>
      </w:pPr>
      <w:r>
        <w:rPr>
          <w:spacing w:val="0"/>
          <w:w w:val="100"/>
          <w:position w:val="0"/>
          <w:shd w:val="clear" w:color="auto" w:fill="auto"/>
          <w:lang w:val="ru-RU" w:eastAsia="ru-RU" w:bidi="ru-RU"/>
        </w:rPr>
        <w:t xml:space="preserve">Действителен </w:t>
      </w:r>
      <w:r>
        <w:rPr>
          <w:color w:val="292929"/>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2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1158" w:right="532" w:bottom="134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9839960</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2023-54353</w:t>
                          </w:r>
                        </w:p>
                      </w:txbxContent>
                    </wps:txbx>
                    <wps:bodyPr wrap="none" lIns="0" tIns="0" rIns="0" bIns="0">
                      <a:spAutoFit/>
                    </wps:bodyPr>
                  </wps:wsp>
                </a:graphicData>
              </a:graphic>
            </wp:anchor>
          </w:drawing>
        </mc:Choice>
        <mc:Fallback>
          <w:pict>
            <v:shape id="_x0000_s1033" type="#_x0000_t202" style="position:absolute;margin-left:57.300000000000004pt;margin-top:774.80000000000007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2023-54353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720090</wp:posOffset>
              </wp:positionH>
              <wp:positionV relativeFrom="page">
                <wp:posOffset>10217785</wp:posOffset>
              </wp:positionV>
              <wp:extent cx="716280" cy="100330"/>
              <wp:wrapNone/>
              <wp:docPr id="9" name="Shape 9"/>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2023-54353</w:t>
                          </w:r>
                        </w:p>
                      </w:txbxContent>
                    </wps:txbx>
                    <wps:bodyPr wrap="none" lIns="0" tIns="0" rIns="0" bIns="0">
                      <a:spAutoFit/>
                    </wps:bodyPr>
                  </wps:wsp>
                </a:graphicData>
              </a:graphic>
            </wp:anchor>
          </w:drawing>
        </mc:Choice>
        <mc:Fallback>
          <w:pict>
            <v:shape id="_x0000_s1035" type="#_x0000_t202" style="position:absolute;margin-left:56.700000000000003pt;margin-top:804.55000000000007pt;width:56.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2023-54353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222885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10000000000002pt;margin-top:17.550000000000001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Times New Roman" w:eastAsia="Times New Roman" w:hAnsi="Times New Roman" w:cs="Times New Roman"/>
      <w:b/>
      <w:bCs/>
      <w:i w:val="0"/>
      <w:iCs w:val="0"/>
      <w:smallCaps w:val="0"/>
      <w:strike w:val="0"/>
      <w:sz w:val="28"/>
      <w:szCs w:val="28"/>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92929"/>
      <w:sz w:val="12"/>
      <w:szCs w:val="12"/>
      <w:u w:val="none"/>
    </w:rPr>
  </w:style>
  <w:style w:type="character" w:customStyle="1" w:styleId="CharStyle21">
    <w:name w:val="Основной текст (4)_"/>
    <w:basedOn w:val="DefaultParagraphFont"/>
    <w:link w:val="Style20"/>
    <w:rPr>
      <w:rFonts w:ascii="Georgia" w:eastAsia="Georgia" w:hAnsi="Georgia" w:cs="Georgia"/>
      <w:b w:val="0"/>
      <w:bCs w:val="0"/>
      <w:i w:val="0"/>
      <w:iCs w:val="0"/>
      <w:smallCaps w:val="0"/>
      <w:strike w:val="0"/>
      <w:color w:val="EBEBEB"/>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626262"/>
      <w:sz w:val="12"/>
      <w:szCs w:val="12"/>
      <w:u w:val="none"/>
    </w:rPr>
  </w:style>
  <w:style w:type="character" w:customStyle="1" w:styleId="CharStyle29">
    <w:name w:val="Основной текст (5)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6">
    <w:name w:val="Подпись к картинке"/>
    <w:basedOn w:val="Normal"/>
    <w:link w:val="CharStyle17"/>
    <w:pPr>
      <w:widowControl w:val="0"/>
      <w:shd w:val="clear" w:color="auto" w:fill="auto"/>
      <w:spacing w:line="214" w:lineRule="auto"/>
    </w:pPr>
    <w:rPr>
      <w:rFonts w:ascii="Times New Roman" w:eastAsia="Times New Roman" w:hAnsi="Times New Roman" w:cs="Times New Roman"/>
      <w:b w:val="0"/>
      <w:bCs w:val="0"/>
      <w:i w:val="0"/>
      <w:iCs w:val="0"/>
      <w:smallCaps w:val="0"/>
      <w:strike w:val="0"/>
      <w:color w:val="292929"/>
      <w:sz w:val="12"/>
      <w:szCs w:val="12"/>
      <w:u w:val="none"/>
    </w:rPr>
  </w:style>
  <w:style w:type="paragraph" w:customStyle="1" w:styleId="Style20">
    <w:name w:val="Основной текст (4)"/>
    <w:basedOn w:val="Normal"/>
    <w:link w:val="CharStyle21"/>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2">
    <w:name w:val="Основной текст (2)"/>
    <w:basedOn w:val="Normal"/>
    <w:link w:val="CharStyle23"/>
    <w:pPr>
      <w:widowControl w:val="0"/>
      <w:shd w:val="clear" w:color="auto" w:fill="auto"/>
      <w:ind w:left="3800"/>
    </w:pPr>
    <w:rPr>
      <w:rFonts w:ascii="Arial" w:eastAsia="Arial" w:hAnsi="Arial" w:cs="Arial"/>
      <w:b w:val="0"/>
      <w:bCs w:val="0"/>
      <w:i w:val="0"/>
      <w:iCs w:val="0"/>
      <w:smallCaps w:val="0"/>
      <w:strike w:val="0"/>
      <w:color w:val="626262"/>
      <w:sz w:val="12"/>
      <w:szCs w:val="12"/>
      <w:u w:val="none"/>
    </w:rPr>
  </w:style>
  <w:style w:type="paragraph" w:customStyle="1" w:styleId="Style28">
    <w:name w:val="Основной текст (5)"/>
    <w:basedOn w:val="Normal"/>
    <w:link w:val="CharStyle29"/>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