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723265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09.11.2023</w:t>
                              <w:tab/>
                            </w:r>
                            <w:r>
                              <w:fldChar w:fldCharType="end"/>
                            </w:r>
                            <w:r>
                              <w:rPr>
                                <w:color w:val="000000"/>
                                <w:spacing w:val="0"/>
                                <w:w w:val="100"/>
                                <w:position w:val="0"/>
                                <w:sz w:val="30"/>
                                <w:szCs w:val="30"/>
                                <w:u w:val="single"/>
                                <w:shd w:val="clear" w:color="auto" w:fill="auto"/>
                                <w:lang w:val="ru-RU" w:eastAsia="ru-RU" w:bidi="ru-RU"/>
                              </w:rPr>
                              <w:t>№ 47751/23</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09.11.2023</w:t>
                        <w:tab/>
                      </w:r>
                      <w:r>
                        <w:fldChar w:fldCharType="end"/>
                      </w:r>
                      <w:r>
                        <w:rPr>
                          <w:color w:val="000000"/>
                          <w:spacing w:val="0"/>
                          <w:w w:val="100"/>
                          <w:position w:val="0"/>
                          <w:sz w:val="30"/>
                          <w:szCs w:val="30"/>
                          <w:u w:val="single"/>
                          <w:shd w:val="clear" w:color="auto" w:fill="auto"/>
                          <w:lang w:val="ru-RU" w:eastAsia="ru-RU" w:bidi="ru-RU"/>
                        </w:rPr>
                        <w:t>№ 47751/23</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МНИОИ им. П.А. Герцена - филиал ФГБУ «НМИЦ радиологии» Минздрава России</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до8_хакиркт@птпс.ги</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ИП. Жуланов Е.А.</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/1и|1а110у85@таП.П1</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ООО «РТС-тендер»</w:t>
      </w:r>
    </w:p>
    <w:p>
      <w:pPr>
        <w:pStyle w:val="Style6"/>
        <w:keepNext w:val="0"/>
        <w:keepLines w:val="0"/>
        <w:widowControl w:val="0"/>
        <w:shd w:val="clear" w:color="auto" w:fill="auto"/>
        <w:bidi w:val="0"/>
        <w:spacing w:before="0" w:after="1100" w:line="240" w:lineRule="auto"/>
        <w:ind w:left="5320" w:right="0" w:firstLine="0"/>
        <w:jc w:val="left"/>
      </w:pPr>
      <w:r>
        <w:rPr>
          <w:color w:val="000000"/>
          <w:spacing w:val="0"/>
          <w:w w:val="100"/>
          <w:position w:val="0"/>
          <w:shd w:val="clear" w:color="auto" w:fill="auto"/>
          <w:lang w:val="ru-RU" w:eastAsia="ru-RU" w:bidi="ru-RU"/>
        </w:rPr>
        <w:t>тГо@г18-1;еп4ег.ги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077/06/106-15586/2023 о нарушении</w:t>
        <w:br/>
        <w:t>законодательства о контрактной системе</w:t>
        <w:br/>
        <w:t>03.11.2023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 МНИОИ им. П.А. Герцена - филиал ФГБУ «НМИЦ радиологии» Минздрава России, ИП. Жуланов Е.А.,</w:t>
      </w:r>
    </w:p>
    <w:p>
      <w:pPr>
        <w:pStyle w:val="Style6"/>
        <w:keepNext w:val="0"/>
        <w:keepLines w:val="0"/>
        <w:widowControl w:val="0"/>
        <w:shd w:val="clear" w:color="auto" w:fill="auto"/>
        <w:bidi w:val="0"/>
        <w:spacing w:before="0" w:after="940" w:line="240" w:lineRule="auto"/>
        <w:ind w:left="0" w:right="0" w:firstLine="700"/>
        <w:jc w:val="both"/>
      </w:pPr>
      <w:r>
        <w:rPr>
          <w:color w:val="000000"/>
          <w:spacing w:val="0"/>
          <w:w w:val="100"/>
          <w:position w:val="0"/>
          <w:shd w:val="clear" w:color="auto" w:fill="auto"/>
          <w:lang w:val="ru-RU" w:eastAsia="ru-RU" w:bidi="ru-RU"/>
        </w:rPr>
        <w:t>рассмотрев жалобу ИП. Жуланов Е.А. (далее — Заявитель) на действия МНИОИ им. П.А. Герцена - филиал ФГБУ «НМИЦ радиологии» Минздрава России (далее — Заказчик) при проведении электронного аукциона на право заключения государственного контракта на поставку шприцов (Закупка № 0373400010923000669)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15"/>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65" w:val="left"/>
        </w:tabs>
        <w:bidi w:val="0"/>
        <w:spacing w:before="0" w:after="0" w:line="252" w:lineRule="auto"/>
        <w:ind w:left="0" w:right="0" w:firstLine="700"/>
        <w:jc w:val="both"/>
        <w:rPr>
          <w:sz w:val="20"/>
          <w:szCs w:val="20"/>
        </w:r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Pr>
          <w:rFonts w:ascii="Cambria" w:eastAsia="Cambria" w:hAnsi="Cambria" w:cs="Cambria"/>
          <w:color w:val="000000"/>
          <w:spacing w:val="0"/>
          <w:w w:val="100"/>
          <w:position w:val="0"/>
          <w:sz w:val="20"/>
          <w:szCs w:val="20"/>
          <w:shd w:val="clear" w:color="auto" w:fill="auto"/>
          <w:lang w:val="ru-RU" w:eastAsia="ru-RU" w:bidi="ru-RU"/>
        </w:rPr>
        <w:t>2023-54061</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tabs>
          <w:tab w:pos="1723" w:val="left"/>
          <w:tab w:pos="4003" w:val="left"/>
          <w:tab w:pos="4421" w:val="left"/>
          <w:tab w:pos="6634" w:val="left"/>
          <w:tab w:pos="7531" w:val="left"/>
          <w:tab w:pos="8568" w:val="left"/>
          <w:tab w:pos="912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1. В жалобе Заявитель указывает о наличии противоречивых требований к поставляемым товарам, в том числе, по п.1 «Шприц общего назначения» установлено: «Градуированный объем шприца (характеристика является обязательной для применения): &gt; 2 и &lt; 3 Кубический сантиметр;</w:t>
      </w:r>
      <w:r>
        <w:rPr>
          <w:color w:val="000000"/>
          <w:spacing w:val="0"/>
          <w:w w:val="100"/>
          <w:position w:val="0"/>
          <w:shd w:val="clear" w:color="auto" w:fill="auto"/>
          <w:vertAlign w:val="superscript"/>
          <w:lang w:val="ru-RU" w:eastAsia="ru-RU" w:bidi="ru-RU"/>
        </w:rPr>
        <w:t>Л</w:t>
      </w:r>
      <w:r>
        <w:rPr>
          <w:color w:val="000000"/>
          <w:spacing w:val="0"/>
          <w:w w:val="100"/>
          <w:position w:val="0"/>
          <w:shd w:val="clear" w:color="auto" w:fill="auto"/>
          <w:lang w:val="ru-RU" w:eastAsia="ru-RU" w:bidi="ru-RU"/>
        </w:rPr>
        <w:t>миллилитр», а также указано, что данное описание установлено в соответствии КТРУ 32.50.13.110</w:t>
        <w:softHyphen/>
        <w:t>00004564, при этом в разделе «Дополнительные требования и характеристики, запрашиваемые Заказчиком» Заказчиком предъявлено противоречивое требование: «Номинальная вместимость 2,5 мл», со следующим обоснованием: «Термин «номинальная вместимость» использован в соответствии с ГОСТ Р ИСО 7886-1-2011 (п.3.1). Характеристика «номинальная вместимость» установлена в целях обеспечения ЛПУ шприцами разных объемов для наиболее точного дозирования лекарственных средств при оказании медицинской помощи, при этом имеющийся в КТРУ диапазон &gt; 2 и &lt; 3 мл не отвечает потребности заказчика в определенном номинальном объеме шприца и применение характеристики «номинальная вместимость» исключает вероятность поставки товара, не соответствующего потребности Заказчика», что вводит участников закупки в заблуждение и нарушает положения постановления Правительства Российской Федерации от 08.02.2017 № 145, которым утверждены Правила формирования и ведения в единой информационной системе в сфере закупок каталога товаров, работ, услуг для обеспечения</w:t>
        <w:tab/>
        <w:t>государственных</w:t>
        <w:tab/>
        <w:t>и</w:t>
        <w:tab/>
        <w:t>муниципальных</w:t>
        <w:tab/>
        <w:t>нужд</w:t>
        <w:tab/>
        <w:t>(далее</w:t>
        <w:tab/>
        <w:t>—</w:t>
        <w:tab/>
        <w:t>правила</w:t>
      </w:r>
    </w:p>
    <w:p>
      <w:pPr>
        <w:pStyle w:val="Style6"/>
        <w:keepNext w:val="0"/>
        <w:keepLines w:val="0"/>
        <w:widowControl w:val="0"/>
        <w:shd w:val="clear" w:color="auto" w:fill="auto"/>
        <w:tabs>
          <w:tab w:pos="1723" w:val="left"/>
          <w:tab w:pos="4003" w:val="left"/>
          <w:tab w:pos="4421" w:val="left"/>
          <w:tab w:pos="6634" w:val="left"/>
          <w:tab w:pos="7531" w:val="left"/>
          <w:tab w:pos="8568" w:val="left"/>
          <w:tab w:pos="9120" w:val="left"/>
        </w:tabs>
        <w:bidi w:val="0"/>
        <w:spacing w:before="0" w:after="0" w:line="240" w:lineRule="auto"/>
        <w:ind w:left="0" w:right="0" w:firstLine="0"/>
        <w:jc w:val="both"/>
      </w:pPr>
      <w:r>
        <w:rPr>
          <w:color w:val="000000"/>
          <w:spacing w:val="0"/>
          <w:w w:val="100"/>
          <w:position w:val="0"/>
          <w:shd w:val="clear" w:color="auto" w:fill="auto"/>
          <w:lang w:val="ru-RU" w:eastAsia="ru-RU" w:bidi="ru-RU"/>
        </w:rPr>
        <w:t>формирования КТРУ) и Правил использования каталога товаров, работ, услуг для обеспечения</w:t>
        <w:tab/>
        <w:t>государственных</w:t>
        <w:tab/>
        <w:t>и</w:t>
        <w:tab/>
        <w:t>муниципальных</w:t>
        <w:tab/>
        <w:t>нужд</w:t>
        <w:tab/>
        <w:t>(далее</w:t>
        <w:tab/>
        <w:t>—</w:t>
        <w:tab/>
        <w:t>Правила</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88" w:lineRule="auto"/>
        <w:ind w:left="0" w:right="0" w:firstLine="700"/>
        <w:jc w:val="both"/>
        <w:rPr>
          <w:sz w:val="20"/>
          <w:szCs w:val="20"/>
        </w:rPr>
      </w:pPr>
      <w:r>
        <w:rPr>
          <w:color w:val="000000"/>
          <w:spacing w:val="0"/>
          <w:w w:val="100"/>
          <w:position w:val="0"/>
          <w:sz w:val="28"/>
          <w:szCs w:val="28"/>
          <w:shd w:val="clear" w:color="auto" w:fill="auto"/>
          <w:lang w:val="ru-RU" w:eastAsia="ru-RU" w:bidi="ru-RU"/>
        </w:rPr>
        <w:t xml:space="preserve">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w:t>
      </w:r>
      <w:r>
        <w:rPr>
          <w:rFonts w:ascii="Cambria" w:eastAsia="Cambria" w:hAnsi="Cambria" w:cs="Cambria"/>
          <w:color w:val="000000"/>
          <w:spacing w:val="0"/>
          <w:w w:val="100"/>
          <w:position w:val="0"/>
          <w:sz w:val="20"/>
          <w:szCs w:val="20"/>
          <w:shd w:val="clear" w:color="auto" w:fill="auto"/>
          <w:lang w:val="ru-RU" w:eastAsia="ru-RU" w:bidi="ru-RU"/>
        </w:rPr>
        <w:t>2023-54061</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подпунктами «б» - «г» и «е» - «з» п.10 Правил формирования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п.6 Правил использования КТРУ в случае предоставления иной и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5"/>
        </w:numPr>
        <w:shd w:val="clear" w:color="auto" w:fill="auto"/>
        <w:tabs>
          <w:tab w:pos="1023" w:val="left"/>
        </w:tabs>
        <w:bidi w:val="0"/>
        <w:spacing w:before="0" w:after="0" w:line="240" w:lineRule="auto"/>
        <w:ind w:left="0" w:right="0" w:firstLine="700"/>
        <w:jc w:val="both"/>
        <w:rPr>
          <w:sz w:val="20"/>
          <w:szCs w:val="20"/>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15" w:right="542" w:bottom="721" w:left="1105"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w:t>
      </w:r>
      <w:r>
        <w:rPr>
          <w:rFonts w:ascii="Cambria" w:eastAsia="Cambria" w:hAnsi="Cambria" w:cs="Cambria"/>
          <w:color w:val="000000"/>
          <w:spacing w:val="0"/>
          <w:w w:val="100"/>
          <w:position w:val="0"/>
          <w:sz w:val="20"/>
          <w:szCs w:val="20"/>
          <w:shd w:val="clear" w:color="auto" w:fill="auto"/>
          <w:lang w:val="ru-RU" w:eastAsia="ru-RU" w:bidi="ru-RU"/>
        </w:rPr>
        <w:t>2023-54061</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6"/>
        <w:keepNext w:val="0"/>
        <w:keepLines w:val="0"/>
        <w:widowControl w:val="0"/>
        <w:numPr>
          <w:ilvl w:val="0"/>
          <w:numId w:val="5"/>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на заседании Комиссии Управления представитель Заказчика пояснил, что установленный в КТРУ диапазон значений «&gt; 2 и &lt; 3» не отвечает потребности Заказчика, ввиду чего в части дополнительных характеристик Заказчиком конкретизировано допустимое Значение «2,5».</w:t>
      </w:r>
    </w:p>
    <w:p>
      <w:pPr>
        <w:pStyle w:val="Style6"/>
        <w:keepNext w:val="0"/>
        <w:keepLines w:val="0"/>
        <w:widowControl w:val="0"/>
        <w:shd w:val="clear" w:color="auto" w:fill="auto"/>
        <w:tabs>
          <w:tab w:pos="9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Комиссия Управления отмечает, что фактически, характеристики, установленные в части «Дополнительные требования и характеристики, запрашиваемые Заказчиком» противоречат значениям описания объекта закупки, в том числе параметру «Градуированный объем шприца (характеристика является обязательной для применения)», что нарушает ч.6 ст.23, п.1 ч.1 ст.33 Закона о контрактной системе и содержит признаки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numPr>
          <w:ilvl w:val="0"/>
          <w:numId w:val="7"/>
        </w:numPr>
        <w:shd w:val="clear" w:color="auto" w:fill="auto"/>
        <w:tabs>
          <w:tab w:pos="100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Также Заявитель указывает на неправомерную конкретизацию показателя «Предохранительный колпачок иглы имеет пять ребер жесткости», поскольку большее количество ребер жесткости также удовлетворяет потребности медицинского учреждения, при этом исходя из инструкции по заполнению заявки участники закупочной процедуры вправе представить единственное значение показателя.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указал, что данное требования установлено для удобства снятия, и, соответственно, дополнительную безопасность медицинского персонала при снятии колпачка с иглы и уменьшает риск контаминации иглы при снятии колпачка, а также </w:t>
      </w:r>
      <w:r>
        <w:rPr>
          <w:color w:val="000000"/>
          <w:spacing w:val="0"/>
          <w:w w:val="100"/>
          <w:position w:val="0"/>
          <w:shd w:val="clear" w:color="auto" w:fill="auto"/>
          <w:lang w:val="ru-RU" w:eastAsia="ru-RU" w:bidi="ru-RU"/>
        </w:rPr>
        <w:t>обеспечивает экономию времени для выполнения простой медицинской манипуляции «инъекция». Если предохранительный колпачок не имеет ребра жесткости, то снять колпачок будет сложнее, помимо этого, если колпачок не будет иметь ребра жесткости, то защита менее надежная, она легче сгибается.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пояснения Заказчика сводятся к необходимости установления требований о наличии ребер жесткости, при этом установление единственного значения «пять ребер жесткости» ограничивает возможность представления изделия с большим количеством ребер жесткости, что также будет удовлетворять потребности Заказчика.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п.1 ч.1 ст.33 Закона о контрактной системе и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numPr>
          <w:ilvl w:val="0"/>
          <w:numId w:val="7"/>
        </w:numPr>
        <w:shd w:val="clear" w:color="auto" w:fill="auto"/>
        <w:tabs>
          <w:tab w:pos="100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Заявителем также указано, что Заказчиком установлены неправомерные требования к товару по п. «Шприц общего назначения»: «Шкала с цифровым обозначением через каждые пять делений, градуировка шкалы 0,1 мл», поскольку в соответствии с положениями П. 10.1.1. ГОСТ 180 7886-1-2011 «Шприцы инъекционные однократного применения стерильные» шкала шприца должна быть градуирована делениями в соответствии с таблице 1. Двойная шкала не допускается. При этом для шприца объемом 2,5 деления шкалы 0,2 мл.</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согласившись с доводом жалобы представитель Заказчика указал, что согласно примечанию к ГОСТ 180 7886-1-2011 допускается дополнительная градуировка внутри шкалы или на ее продолжении. Таким образом от производителя зависит, какие именно дополнительные деления шкалы указывать в шприцах, главное придерживаться минимальным требованиям ГОСТ. Наличие деление шкалы 0,1мл у шприца, снижает риск ошибок медицинского персонала при введении лекарственных препаратов, требующих особо точных дозировок. Если участник предложит шприц, имеющие основную шкалу 0,2мл и дополнительную шкалу 0,1мл данная заявка будет соответствовать требованиям заказчика и технического задания. Названное означает, что ГОСТ 180 7886-1</w:t>
        <w:softHyphen/>
        <w:t>2011 регулирует минимальные технические требования к шприцам, однако в примечании указано, что данный стандарт можно улучшать. То есть, на примере если ГОСТ 180 7886-1-2011 указывает на градуировку шприца вместимостью 2 мл деление шкалы составляет 0,2мл, то примечание говорит о том, что данные показатели можно улучшать, то есть сделать к примеру следующее деление шкалы: 0,1мл, 0,5мл, 0,25мл и т. д.</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Также в жалобе Заявитель указывает на установление неправомерных требований к товарам по п. «Шприц общего назначения, тип 5»: «размер иглы 0,8х40±2 мм», «Вторая игла должна быть инъекционная, со стандартным срезом, с трехгранной заточкой, размер 0,6х30±2 мм»; п.7 «Шприц общего назначения, тип 6»: «размер иглы 0,8х40±2 мм», «Вторая игла должна быть инъекционная, со стандартным срезом, с трехгранной заточкой, размер 0,7х40±2 мм», поскольку, по </w:t>
      </w:r>
      <w:r>
        <w:rPr>
          <w:color w:val="000000"/>
          <w:spacing w:val="0"/>
          <w:w w:val="100"/>
          <w:position w:val="0"/>
          <w:shd w:val="clear" w:color="auto" w:fill="auto"/>
          <w:lang w:val="ru-RU" w:eastAsia="ru-RU" w:bidi="ru-RU"/>
        </w:rPr>
        <w:t>мнению Заявителя, Заказчиком не допускается представления улучшенных значений.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представитель Заказчика указал, что согласно инструкции заполнению заявки, участники закупки обязаны указывать конкретные показатели. Символ «±» - означает что,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 Таким образом, участники могут выбрать из заданного диапазона конкретный размер иглы, это может быть 0,8х42; 0,8х38;.0,7х42 и т. д., при этом размеры иглы обусловлены потребностью медицинского учреждения и установлены на основании необходимости введения лекарственных препаратов различной плотности, что подразумевает разные размеры иглы.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в составе жалобы Заявитель также указывает на неправомерность установленного требования «Одна из игл должна иметь плоскую заточку, угол заточки должен составлять 40±2°, размер иглы 0,8х40±2 мм» для закупаемых товаров по п. «Шприц общего назначения, тип 5/6», поскольку в составе КТРУ указанное описание отсутствует, что свидетельствует о незначительности такой характеристики.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указал, что в составе закупочной документации установлено обоснование применения дополнительной характеристики, в том числе указано, что игла с плоской заточкой необходима для набора лекарственных препаратов из флаконов с резиновой пробкой, предотвращения вырезания материала пробки при прокалывании ее иглой и последующего попадания частиц резиновой пробки в шприц и введения их в пациента. Также плоская заточка иглы минимизирует риск ранения медицинского работника при смене игл в процессе подготовки к инъекции. Игла с плоской заточкой (угол заточки 40±2°) предназначена исключительно для набора лекарственного средства из флаконов с резиновыми пробками и в последующем в обязательном порядке будет заменена на инъекционную стерильную иглу, согласно требованиям, ГОСТ 52623.4-2015. Таким образом, вопреки доводам Заявителя, вышеуказанная характеристика является значимой для Заказчика.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вышеуказанные доводы Заявителя не нашли своего подтверждения и являются необоснованными.</w:t>
      </w:r>
    </w:p>
    <w:p>
      <w:pPr>
        <w:pStyle w:val="Style6"/>
        <w:keepNext w:val="0"/>
        <w:keepLines w:val="0"/>
        <w:widowControl w:val="0"/>
        <w:numPr>
          <w:ilvl w:val="0"/>
          <w:numId w:val="7"/>
        </w:numPr>
        <w:shd w:val="clear" w:color="auto" w:fill="auto"/>
        <w:tabs>
          <w:tab w:pos="100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жалобе Заявитель указывает, что Заказчиком установлены неправомерные требования к закупаемым товарам по п. «Шприцы общего назначения» совокупности которых соответствует продукция единственного производителя, а именно ООО «Паскаль Медикал» по регистрационному удостоверению № РЗН 2018/7245 01.02.2021, что ограничивает количество участников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w:t>
      </w:r>
      <w:r>
        <w:rPr>
          <w:color w:val="000000"/>
          <w:spacing w:val="0"/>
          <w:w w:val="100"/>
          <w:position w:val="0"/>
          <w:shd w:val="clear" w:color="auto" w:fill="auto"/>
          <w:lang w:val="ru-RU" w:eastAsia="ru-RU" w:bidi="ru-RU"/>
        </w:rPr>
        <w:t>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представитель Заказчика указал, что помимо продукции, указанной в составе жалобы Заявителя требованиям закупочной документации также соответствует товары производства АО «Медполимер ЛТД» по регистрационному удостоверению №ФСР 2010/07477 от 17.11.2020.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представитель Заявителя пояснил, что согласно инструкции на шприцы производства АО «Медполимер ЛТД», размещенной на сайте Росздравнадзора, у указанного товара присутствуют иглы инъекционные, при этом сведения о наличии игл с плоской заточкой не представлено, что требуется в составе технической части закупочной документации: «Одна из игл должна иметь плоскую заточку, угол заточки должен составлять 40±2°».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иных сведений, свидетельствующих о соответствии продукции АО «Медполимер ЛТД» требованиям документации Заказчиком не представлено.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а также с учетом пояснений представителя Заказчика, Комиссия Управления приходит к выводу об обоснованности доводов жалобы и о нарушении Заказчиком положений п.1 ч.1 ст.33 Закона о контрактной системе при формировании описания объекта закупки, что, в свою очередь, содержит признаки состава административного правонарушения, предусмотренного ч.4.1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sectPr>
          <w:headerReference w:type="default" r:id="rId11"/>
          <w:footerReference w:type="default" r:id="rId12"/>
          <w:footnotePr>
            <w:pos w:val="pageBottom"/>
            <w:numFmt w:val="decimal"/>
            <w:numRestart w:val="continuous"/>
          </w:footnotePr>
          <w:pgSz w:w="11900" w:h="16840"/>
          <w:pgMar w:top="1162" w:right="540" w:bottom="1306" w:left="1103"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5"/>
        <w:keepNext/>
        <w:keepLines/>
        <w:widowControl w:val="0"/>
        <w:shd w:val="clear" w:color="auto" w:fill="auto"/>
        <w:bidi w:val="0"/>
        <w:spacing w:before="0" w:line="240" w:lineRule="auto"/>
        <w:ind w:left="0" w:right="0" w:firstLine="0"/>
        <w:jc w:val="center"/>
      </w:pPr>
      <w:bookmarkStart w:id="4" w:name="bookmark4"/>
      <w:r>
        <w:rPr>
          <w:color w:val="000000"/>
          <w:spacing w:val="0"/>
          <w:w w:val="100"/>
          <w:position w:val="0"/>
          <w:shd w:val="clear" w:color="auto" w:fill="auto"/>
          <w:lang w:val="ru-RU" w:eastAsia="ru-RU" w:bidi="ru-RU"/>
        </w:rPr>
        <w:t>Р Е Ш И Л А:</w:t>
      </w:r>
      <w:bookmarkEnd w:id="4"/>
    </w:p>
    <w:p>
      <w:pPr>
        <w:pStyle w:val="Style6"/>
        <w:keepNext w:val="0"/>
        <w:keepLines w:val="0"/>
        <w:widowControl w:val="0"/>
        <w:numPr>
          <w:ilvl w:val="0"/>
          <w:numId w:val="9"/>
        </w:numPr>
        <w:shd w:val="clear" w:color="auto" w:fill="auto"/>
        <w:tabs>
          <w:tab w:pos="122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жалобу ИП. Жуланов Е.А. на действия МНИОИ им. П.А. Герцена - филиал ФГБУ «НМИЦ радиологии» Минздрава России обоснованной в части неправомерного описания объекта закупочной процедуры.</w:t>
      </w:r>
    </w:p>
    <w:p>
      <w:pPr>
        <w:pStyle w:val="Style6"/>
        <w:keepNext w:val="0"/>
        <w:keepLines w:val="0"/>
        <w:widowControl w:val="0"/>
        <w:numPr>
          <w:ilvl w:val="0"/>
          <w:numId w:val="9"/>
        </w:numPr>
        <w:shd w:val="clear" w:color="auto" w:fill="auto"/>
        <w:tabs>
          <w:tab w:pos="1219"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в действиях Заказчика нарушение положений ч.6 ст.23, п.1 ч.1 ст.33 Закона о контрактной системе.</w:t>
      </w:r>
    </w:p>
    <w:p>
      <w:pPr>
        <w:pStyle w:val="Style6"/>
        <w:keepNext w:val="0"/>
        <w:keepLines w:val="0"/>
        <w:widowControl w:val="0"/>
        <w:numPr>
          <w:ilvl w:val="0"/>
          <w:numId w:val="9"/>
        </w:numPr>
        <w:shd w:val="clear" w:color="auto" w:fill="auto"/>
        <w:tabs>
          <w:tab w:pos="122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Выдать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9"/>
        </w:numPr>
        <w:shd w:val="clear" w:color="auto" w:fill="auto"/>
        <w:tabs>
          <w:tab w:pos="1227" w:val="left"/>
        </w:tabs>
        <w:bidi w:val="0"/>
        <w:spacing w:before="0" w:after="200" w:line="240" w:lineRule="auto"/>
        <w:ind w:left="0" w:right="0" w:firstLine="8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479" w:right="532" w:bottom="1100" w:left="1106" w:header="0" w:footer="3" w:gutter="0"/>
          <w:cols w:space="720"/>
          <w:noEndnote/>
          <w:rtlGutter w:val="0"/>
          <w:docGrid w:linePitch="360"/>
        </w:sectPr>
      </w:pPr>
      <w:r>
        <mc:AlternateContent>
          <mc:Choice Requires="wps">
            <w:drawing>
              <wp:anchor distT="533400" distB="200660" distL="0" distR="0" simplePos="0" relativeHeight="125829381" behindDoc="0" locked="0" layoutInCell="1" allowOverlap="1">
                <wp:simplePos x="0" y="0"/>
                <wp:positionH relativeFrom="page">
                  <wp:posOffset>735965</wp:posOffset>
                </wp:positionH>
                <wp:positionV relativeFrom="paragraph">
                  <wp:posOffset>533400</wp:posOffset>
                </wp:positionV>
                <wp:extent cx="1850390" cy="250190"/>
                <wp:wrapTopAndBottom/>
                <wp:docPr id="13" name="Shape 1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950000000000003pt;margin-top:42.pt;width:145.70000000000002pt;height:19.699999999999999pt;z-index:-125829372;mso-wrap-distance-left:0;mso-wrap-distance-top:42.pt;mso-wrap-distance-right:0;mso-wrap-distance-bottom:15.8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624840" distB="0" distL="0" distR="1807210" simplePos="0" relativeHeight="125829383" behindDoc="0" locked="0" layoutInCell="1" allowOverlap="1">
            <wp:simplePos x="0" y="0"/>
            <wp:positionH relativeFrom="page">
              <wp:posOffset>3131820</wp:posOffset>
            </wp:positionH>
            <wp:positionV relativeFrom="paragraph">
              <wp:posOffset>624840</wp:posOffset>
            </wp:positionV>
            <wp:extent cx="311150" cy="35941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694690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55000000000001pt;margin-top:54.700000000000003pt;width:135.84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200660" distL="0" distR="0" simplePos="0" relativeHeight="125829384" behindDoc="0" locked="0" layoutInCell="1" allowOverlap="1">
                <wp:simplePos x="0" y="0"/>
                <wp:positionH relativeFrom="page">
                  <wp:posOffset>5908675</wp:posOffset>
                </wp:positionH>
                <wp:positionV relativeFrom="paragraph">
                  <wp:posOffset>533400</wp:posOffset>
                </wp:positionV>
                <wp:extent cx="1307465" cy="250190"/>
                <wp:wrapTopAndBottom/>
                <wp:docPr id="19" name="Shape 19"/>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wps:txbx>
                      <wps:bodyPr wrap="none" lIns="0" tIns="0" rIns="0" bIns="0">
                        <a:noAutoFit/>
                      </wps:bodyPr>
                    </wps:wsp>
                  </a:graphicData>
                </a:graphic>
              </wp:anchor>
            </w:drawing>
          </mc:Choice>
          <mc:Fallback>
            <w:pict>
              <v:shape id="_x0000_s1045" type="#_x0000_t202" style="position:absolute;margin-left:465.25pt;margin-top:42.pt;width:102.95pt;height:19.699999999999999pt;z-index:-125829369;mso-wrap-distance-left:0;mso-wrap-distance-top:42.pt;mso-wrap-distance-right:0;mso-wrap-distance-bottom:15.8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7"/>
        <w:keepNext w:val="0"/>
        <w:keepLines w:val="0"/>
        <w:widowControl w:val="0"/>
        <w:shd w:val="clear" w:color="auto" w:fill="auto"/>
        <w:bidi w:val="0"/>
        <w:spacing w:before="0" w:after="0" w:line="240" w:lineRule="auto"/>
        <w:ind w:left="0" w:right="0" w:firstLine="0"/>
        <w:jc w:val="center"/>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7"/>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6366183222Е5ОСЕ2САЗЕ6О732820С91 </w:t>
      </w:r>
      <w:r>
        <w:rPr>
          <w:color w:val="252525"/>
          <w:spacing w:val="0"/>
          <w:w w:val="100"/>
          <w:position w:val="0"/>
          <w:shd w:val="clear" w:color="auto" w:fill="auto"/>
          <w:lang w:val="ru-RU" w:eastAsia="ru-RU" w:bidi="ru-RU"/>
        </w:rPr>
        <w:t>С</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23.01.2023 по 17.04.2024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90" w:line="240" w:lineRule="auto"/>
        <w:ind w:left="0" w:right="0" w:firstLine="0"/>
        <w:jc w:val="right"/>
      </w:pPr>
      <w:r>
        <w:drawing>
          <wp:anchor distT="0" distB="0" distL="114300" distR="1921510" simplePos="0" relativeHeight="125829386" behindDoc="0" locked="0" layoutInCell="1" allowOverlap="1">
            <wp:simplePos x="0" y="0"/>
            <wp:positionH relativeFrom="page">
              <wp:posOffset>3131820</wp:posOffset>
            </wp:positionH>
            <wp:positionV relativeFrom="paragraph">
              <wp:posOffset>76200</wp:posOffset>
            </wp:positionV>
            <wp:extent cx="311150" cy="3657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146050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11.5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7"/>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14141"/>
          <w:spacing w:val="0"/>
          <w:w w:val="100"/>
          <w:position w:val="0"/>
          <w:shd w:val="clear" w:color="auto" w:fill="auto"/>
          <w:lang w:val="ru-RU" w:eastAsia="ru-RU" w:bidi="ru-RU"/>
        </w:rPr>
        <w:t>00СС5А1А1</w:t>
      </w:r>
      <w:r>
        <w:rPr>
          <w:color w:val="252525"/>
          <w:spacing w:val="0"/>
          <w:w w:val="100"/>
          <w:position w:val="0"/>
          <w:shd w:val="clear" w:color="auto" w:fill="auto"/>
          <w:lang w:val="ru-RU" w:eastAsia="ru-RU" w:bidi="ru-RU"/>
        </w:rPr>
        <w:t>С3030775Е8423Р1</w:t>
      </w:r>
      <w:r>
        <w:rPr>
          <w:color w:val="414141"/>
          <w:spacing w:val="0"/>
          <w:w w:val="100"/>
          <w:position w:val="0"/>
          <w:shd w:val="clear" w:color="auto" w:fill="auto"/>
          <w:lang w:val="ru-RU" w:eastAsia="ru-RU" w:bidi="ru-RU"/>
        </w:rPr>
        <w:t>1867182162</w:t>
      </w:r>
    </w:p>
    <w:p>
      <w:pPr>
        <w:pStyle w:val="Style27"/>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24.01.2023 по 18.04.2024</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7" behindDoc="0" locked="0" layoutInCell="1" allowOverlap="1">
            <wp:simplePos x="0" y="0"/>
            <wp:positionH relativeFrom="page">
              <wp:posOffset>3073400</wp:posOffset>
            </wp:positionH>
            <wp:positionV relativeFrom="paragraph">
              <wp:posOffset>25400</wp:posOffset>
            </wp:positionV>
            <wp:extent cx="389890" cy="57277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464185</wp:posOffset>
                </wp:positionV>
                <wp:extent cx="1280160" cy="103505"/>
                <wp:wrapNone/>
                <wp:docPr id="27" name="Shape 2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3" type="#_x0000_t202" style="position:absolute;margin-left:281.10000000000002pt;margin-top:36.550000000000004pt;width:100.8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153670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5pt;margin-top:12.1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7"/>
        <w:keepNext w:val="0"/>
        <w:keepLines w:val="0"/>
        <w:widowControl w:val="0"/>
        <w:shd w:val="clear" w:color="auto" w:fill="auto"/>
        <w:bidi w:val="0"/>
        <w:spacing w:before="0" w:after="0" w:line="240" w:lineRule="auto"/>
        <w:ind w:right="0" w:firstLine="0"/>
        <w:jc w:val="left"/>
      </w:pPr>
      <w:r>
        <w:rPr>
          <w:color w:val="41414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14141"/>
          <w:spacing w:val="0"/>
          <w:w w:val="100"/>
          <w:position w:val="0"/>
          <w:shd w:val="clear" w:color="auto" w:fill="auto"/>
          <w:lang w:val="ru-RU" w:eastAsia="ru-RU" w:bidi="ru-RU"/>
        </w:rPr>
        <w:t>44СЕО19О689ЕВ23598ВССВЕ99Е1С6Е2С</w:t>
      </w:r>
    </w:p>
    <w:p>
      <w:pPr>
        <w:pStyle w:val="Style27"/>
        <w:keepNext w:val="0"/>
        <w:keepLines w:val="0"/>
        <w:widowControl w:val="0"/>
        <w:shd w:val="clear" w:color="auto" w:fill="auto"/>
        <w:bidi w:val="0"/>
        <w:spacing w:before="0" w:after="2520" w:line="240" w:lineRule="auto"/>
        <w:ind w:right="0" w:firstLine="0"/>
        <w:jc w:val="left"/>
      </w:pPr>
      <w:r>
        <w:rPr>
          <w:spacing w:val="0"/>
          <w:w w:val="100"/>
          <w:position w:val="0"/>
          <w:shd w:val="clear" w:color="auto" w:fill="auto"/>
          <w:lang w:val="ru-RU" w:eastAsia="ru-RU" w:bidi="ru-RU"/>
        </w:rPr>
        <w:t>Действителен с 10.04.2023 по 03.07.2024</w:t>
      </w:r>
    </w:p>
    <w:p>
      <w:pPr>
        <w:pStyle w:val="Style3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3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тел.8(495)784-75-05</w:t>
      </w:r>
    </w:p>
    <w:sectPr>
      <w:footnotePr>
        <w:pos w:val="pageBottom"/>
        <w:numFmt w:val="decimal"/>
        <w:numRestart w:val="continuous"/>
      </w:footnotePr>
      <w:type w:val="continuous"/>
      <w:pgSz w:w="11900" w:h="16840"/>
      <w:pgMar w:top="1479" w:right="532" w:bottom="110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10299065</wp:posOffset>
              </wp:positionV>
              <wp:extent cx="713105" cy="100330"/>
              <wp:wrapNone/>
              <wp:docPr id="7" name="Shape 7"/>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2023-54061</w:t>
                          </w:r>
                        </w:p>
                      </w:txbxContent>
                    </wps:txbx>
                    <wps:bodyPr wrap="none" lIns="0" tIns="0" rIns="0" bIns="0">
                      <a:spAutoFit/>
                    </wps:bodyPr>
                  </wps:wsp>
                </a:graphicData>
              </a:graphic>
            </wp:anchor>
          </w:drawing>
        </mc:Choice>
        <mc:Fallback>
          <w:pict>
            <v:shape id="_x0000_s1033" type="#_x0000_t202" style="position:absolute;margin-left:56.950000000000003pt;margin-top:810.9500000000000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2023-54061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19455" cy="100330"/>
              <wp:wrapNone/>
              <wp:docPr id="11" name="Shape 1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2023-54061</w:t>
                          </w:r>
                        </w:p>
                      </w:txbxContent>
                    </wps:txbx>
                    <wps:bodyPr wrap="none" lIns="0" tIns="0" rIns="0" bIns="0">
                      <a:spAutoFit/>
                    </wps:bodyPr>
                  </wps:wsp>
                </a:graphicData>
              </a:graphic>
            </wp:anchor>
          </w:drawing>
        </mc:Choice>
        <mc:Fallback>
          <w:pict>
            <v:shape id="_x0000_s1037" type="#_x0000_t202" style="position:absolute;margin-left:57.200000000000003pt;margin-top:794.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2023-54061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448945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15000000000003pt;margin-top:35.35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3926840</wp:posOffset>
              </wp:positionH>
              <wp:positionV relativeFrom="page">
                <wp:posOffset>476250</wp:posOffset>
              </wp:positionV>
              <wp:extent cx="64135" cy="103505"/>
              <wp:wrapNone/>
              <wp:docPr id="9" name="Shape 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19999999999999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4"/>
      <w:szCs w:val="34"/>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5">
    <w:name w:val="Основной текст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76767"/>
      <w:sz w:val="12"/>
      <w:szCs w:val="12"/>
      <w:u w:val="none"/>
    </w:rPr>
  </w:style>
  <w:style w:type="character" w:customStyle="1" w:styleId="CharStyle34">
    <w:name w:val="Основной текст (5)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5">
    <w:name w:val="Заголовок №2"/>
    <w:basedOn w:val="Normal"/>
    <w:link w:val="CharStyle16"/>
    <w:pPr>
      <w:widowControl w:val="0"/>
      <w:shd w:val="clear" w:color="auto" w:fill="auto"/>
      <w:spacing w:after="28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4">
    <w:name w:val="Основной текст (4)"/>
    <w:basedOn w:val="Normal"/>
    <w:link w:val="CharStyle25"/>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676767"/>
      <w:sz w:val="12"/>
      <w:szCs w:val="12"/>
      <w:u w:val="none"/>
    </w:rPr>
  </w:style>
  <w:style w:type="paragraph" w:customStyle="1" w:styleId="Style33">
    <w:name w:val="Основной текст (5)"/>
    <w:basedOn w:val="Normal"/>
    <w:link w:val="CharStyle34"/>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