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09.11.2023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 47614/23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99999999999999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09.11.2023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 47614/23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«КДП №121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Ыр121@/с1гау. 1ПОУП1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Тужина С.В.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^п16@^р^иx.^и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077/06/106-15153/2023 о нарушении</w:t>
        <w:br/>
        <w:t>законодательства о контрактной системе</w:t>
        <w:br/>
        <w:t>03.11.2023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76" w:val="left"/>
          <w:tab w:pos="4852" w:val="left"/>
          <w:tab w:pos="6786" w:val="left"/>
          <w:tab w:pos="92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76" w:val="left"/>
          <w:tab w:pos="4852" w:val="left"/>
          <w:tab w:pos="6786" w:val="left"/>
          <w:tab w:pos="92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Тужина С.В.: С.А. Бейнешева (по довер. № б/н от 30.03.2023),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«КДП №121 ДЗМ»: А.А. Лисового (по довер. № б/н от 27.07.2023),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Тужина С.В. (далее — Заявитель) на действия ГБУЗ «КДП №121 ДЗМ» (далее — Заказчик) при проведении электронного аукциона на право заключения государственного контракта на поставку перчаток медицинских (Закупка № 0373200583123000106)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8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2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3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1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установлены неправомерные требования к закупаемым изделиям,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«Информация о цвете перчатки должна быть указана в РУ/или на заводской упаковке (без применения стикеров, наклеек и т.д) и в иных документах (сведениях) размещенных в реестровой записи МИ в открытой части Госреестра МИ на сайте Росздравнадзора, для однозначной идентификации, а также распределения между персоналом, который по специфике работы использует данный вид перчаток. Информация в РУ РЗН должна позволять осуществлять идентификацию медицинского изделия»,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«Информация о цвете и наличии ромбовидной текстуры по всей поверхности указана в РУ и/или на заводской упаковке (без применения стикеров, наклеек и т.д) и в др. документах (сведениях) в реестровой записи МИ в открытой части Государственного реестра МИ на сайте Росздравнадзора, для однозначной идентификации МИ. Информация о МИ в РУ РЗН должна позволять осуществлять однозначную идентификацию МИ».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например следующие требования к закупаемым изделиям,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34" w:right="538" w:bottom="944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1-4 «Перчатки смотровые/процедурные нитриловые, неопудренные, антибактериальные, размер 8/М/Ь/ХЬ»: «Информация о цвете перчатки должна быть указана в РУ/или на заводской упаковке (без применения стикеров, наклеек и т.д) и 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иных документах (сведениях) размещенных в реестровой записи МИ в открытой части Госреестра МИ на сайте Росздравнадзора, для однозначной идентификации, а также распределения между персоналом, который по специфике работы использует данный вид перчаток. Информация в РУ РЗН должна позволять осуществлять идентификацию медицинского изделия»,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5-6 «Перчатки смотровые/процедурные нитриловые, неопудренные, антибактериальные, размер 8/Ь»: «Информация о цвете и наличии ромбовидной текстуры по всей поверхности указана в РУ и/или на заводской упаковке (без применения стикеров, наклеек и т.д) и в др. документах (сведениях) в реестровой записи МИ в открытой части Государственного реестра МИ на сайте Росздравнадзора, для однозначной идентификации МИ. Информация о МИ в РУ РЗН должна позволять осуществлять однозначную идентификацию МИ».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Заявитель указывает, что в разделе 8 ГОСТ Р 52239-2004 «Маркировка» отсутствуют указания на обозначение требуемых Заказчиком характеристик товара, при этом в данном разделе поименованы лишь те характеристики товара, наличие которых обязательно в силу того же ГОСТ. Кроме того, указанный список не является исчерпывающим, производители товара свободны в декларировании на упаковке товара и прилагающейся документации иных характеристик, которым отвечает товар, помимо тех, что поименованы в ГОСТ.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разделу 4 ГОСТ Р 52239-2004 для облегчения надевания перчаток может быть применена обработка поверхности, смазка, опудривание или полимерное покрытие при условии соответствия требованиям ГОСТ Р ИСО 10993-3, ГОСТ Р ИСО 10993-10, ГОСТ Р ИСО 10993-11. ГОСТ Р ИСО 10993-13. Таким образом, производители перчаток вправе нанести на свою продукцию смазку, полимерное покрытие или опудрить её, при условии соблюдения требований ГОСТ, при этом факт покрытия перчаток смазкой или полимерным покрытием, а также факт опудривания изделий должны быть отражены в соответствующей документации: на упаковке товара, в РУ и в техническом паспорте.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добавил, что цвет перчаток позволяет идентифицировать перчатки с определенной текстурой и используемые отдельными отделениями учреждения и отличить их при приемке и распределении между кабинетами Заказчика, при этом Заказчик не ограничивает участников закупки одним цветом.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Постановлением Правительства РФ от 27.12.2012 № 1416 «Об утверждении Правил государственной регистрации медицинских изделий» (далее — постановление № 1416) установлены правила регистрации медицинских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Так, п. 56 Правил государственной регистрации медицинских изделий,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2023-53877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утвержденных постановлением Правительства РФ от 27.12.2012 № 1416 «Об утверждении Правил государственной регистрации медицинских изделий», в Регистрационном удостоверении в обязательном порядке должны содержаться следующие сведения: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медицинского изделия (с указанием принадлежностей, необходимых для применения медицинского изделия по назначению);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государственной регистрации медицинского изделия и его регистрационныйномер;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лица, на имя которого выдано регистрационное удостоверение, - полное и (в случае, если имеется) сокращенное наименование, в том числе фирменное наименование, организационно-правовая форма юридического лица и адрес места его нахождения или фамилия, имя и (в случае, если имеется) отчество, адрес места жительства индивидуального предпринимателя;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производителя (изготовителя) - полное и (в случае, если имеется) сокращенное наименование, в том числе фирменное наименование, организационно-правовая форма и адрес места нахождения или фамилия, имя и (в случае, если имеется) отчество, адрес места жительства индивидуального предпринимателя;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0" w:val="left"/>
          <w:tab w:pos="21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место производства медицинского изделия;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0" w:val="left"/>
          <w:tab w:pos="21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номер регистрационного досье;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 утратил силу с 13 июня 2018 года - постановление Правительства Российской Федерации от 31 мая 2018 года К 633;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потенциального риска применения медицинского изделия в соответствии с номенклатурной классификацией медицинских изделий, утверждаемой Министерством здравоохранения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 Общероссийского классификатора продукции по видам экономической деятельности.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пункт 56 «Правил государственной регистрации медицинских изделий», а также Приказ Росздравнадзора от 16.01.2013 № 40-Пр/13, которым утверждена форма РУ на медицинское изделие, также не содержит каких-либо запретов на включение в регистрационное удостоверение информации о способе обработки, текстуре, цвете и прочих характеристиках медицинского изделия.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в действующем законодательстве отсутствует обязанность производителей указывать совокупность оспариваемых требований в регистрационном удостоверении, упаковке товара и сопроводительной документации, размещенной в Государственном реестре медицинских изделий, ввиду чего установление оспариваемых требований ограничивает количество участников закупки по причине формального несоответствия документации изделия требованиям извещения, в то время как само изделие может соответствовать как потребности Заказчика, так и требованиям извещения, установленным непосредственно к изделию, которое является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Также Комиссия Управления отмечает, что в описании объекта закупки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2023-53877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указываются функциональные, технические, качественные и эксплуатационные характеристики объекта закупки, в то время как требование о наличии документов и информации, подтверждающей соответствие закупаемого изделия установленным требованиям, очевидно не является характеристикой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проверка соответствия представленного исполнителем контракта изделия установленным в описании объекта закупки требованиям осуществляется Заказчиком в соответствии с положениями ст.94 Закона о контрактной системе и является обязанностью Заказчика, ввиду чего включение в описание объекта закупки дополнительных требований к характеристикам изделия, в рамках ст.33 Закона о контрактной системе, о наличии в сопроводительной документации к изделию определенных сведений, либо наличии таких сведений на упаковке изделия, необходимых Заказчику для установления соответствия закупаемого изделия требованиям извещения на этапе приемки товара свидетельствует о нарушении Заказчиком положений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по п. 5, 7 Технического задания Заказчиком установлено неправомерное требование «Перчатки повышенной плотности с выраженной ромбовидной текстурой по всей поверхности для улучшенного сцепления», поскольку указание на ромбовидную текстуру влечет за собой ограничение количества участников закупки, которые могут поставить иные по материалу и технологии изготовления перчатки, обладающие аналогичным функционалом.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согласно п. 2.4 Методических рекомендаций медицинские перчатки должны отвечать требованиям, обеспечивающим их защитные (барьерные) и потребительские свойства,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безопасность для здоровья пациента и медицинского персонала: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удобство/комфортность;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медицинское изделие, используемое в процессе работы, должно обеспечивать удобство, комфорт использования и безопасность.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3.3 ГОСТ Р 52239-2004 различают четыре вида отделки: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текстурный рисунок. нанесенный на какой-либо части или по всей поверхности перчатки: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80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гладкая поверхность;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80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опудренная поверхность;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80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поверхность без опудривания.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Указанным государственным стандартом предусмотрена поверхность с текстурным рисунком. При этом, производители предлагают различные варианты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2023-53877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исполнения текстурного рисунка.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3.5. Методических рекомендаций медицинские перчатки могут различаться по фактуре внешней поверхности. В зависимости от способа обработки перчатки могут иметь: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70" w:val="left"/>
        </w:tabs>
        <w:bidi w:val="0"/>
        <w:spacing w:before="0" w:after="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гладкую поверхность;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5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текстурный рисунок. нанесенный на какой-либо участок или на всю поверхность перчатки;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70" w:val="left"/>
        </w:tabs>
        <w:bidi w:val="0"/>
        <w:spacing w:before="0" w:after="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микротекстурированную поверхность.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методические рекомендации предусматривают производство и применение перчаток с текстурной поверхностью. Государственные стандарты не содержат запрета на установление указанного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ромбовидная текстура хорошо зарекомендовала себя среди потребителей медицинского изделия: медицинского персонала. Ромбовидная текстура широко применяется при производстве медицинских перчаток и такие изделия представлены на рынке медицинских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что, действительно, вышеуказанные в составе возражения Заказчика нормативно-правовые акты указывают на правомерность установления текстурности к медицинскому изделию, при этом они не указывают на конкретный вид текстурного рисунка.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установление Заказчиком в Техническом задании требования к закупаемым медицинским изделиям о ромбовидной текстуре поверхности может привести к ограничению участников данной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представителем Заказчика на заседании Комиссии Управления и в составе жалобы не представлено документов и сведений о том, каким образом указание в составе заявки иного вида текстурности медицинского изделия, например, овальной, круглой, или треугольной, может привести к несоответствию потребности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Заказчиком неправомерно установлено требование к весу перчатки, при этом данное требование не предусмотрено никакими нормативно-правовыми актами и методическими рекомендациями, что ограничивает количество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в том числе следующие требования к изделиям,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5, 7 «Перчатки смотровые/процедурные нитриловые, неопудренные, антибактериальные, размер 8/Ъ»: «вес - &gt;= 8,0 гр».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9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Заказчик в соответствии со ст. 33 Закона о контрактной системе установил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2023-53877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товара, в частности, вес перчаток для возможности определения соответствия перчатки требованиям при поставке.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указание конкретного веса перчаток является существенной характеристикой, поскольку она определяет плотность, а, соответственно, и прочность перчаток, что является важным при оказании медицинской помощи и соответствует потребности медицинского учреждения.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вышеуказанной нормы обязанность доказывания нарушения Заказчиком своих прав и законных интересов лежит на подателе жалобы, однако, на заседании Комиссии Управления, а так же в составе жалобы Заявителем не представлены документы и сведения свидетельствующие об ограничении количества участников закупки, а также о невозможности формирования заявки на участие в данном аукционе, а также сведений, свидетельствующих о нарушении Заказчиком норм Закона о контрактной системе при установлении оспариваемых требований к поставляемым товарам.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указанный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23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предъявлены требования к количеству перчаток в упаковке, поскольку данная характеристика, по мнению Заявителя, не влияет на качество и функциональность перчаток, при этом влечет за собой ограничение количества участников закупки, в частности: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77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пп. 1-15 Технического задания Заказчиком установлено требование: «Количество перчаток в упаковке: Больше или равно 80 пар».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77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16 Технического задания установлено требование: «Количество перчаток в упаковке: Равно 25 пар».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77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17 Технического задания установлено требование: «Количество перчаток в упаковке: Равно 50 пар».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Закон о контрактной системе не запрещает устанавливать в составе технической части извещения требований к упаковке закупаемого товара, кроме того, предъявленные Заказчиком требования к поставляемому товару в равной степени распространялись на всех участников аукциона, ввиду чего любое лицо обладало возможностью закупить и поставить требуемый товар.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20" w:left="1106" w:header="0" w:footer="19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вышеуказанной нормы обязанность доказывания нарушения Заказчиком своих прав и законных интересов лежит на подателе жалобы, однако, на заседании Комиссии Управления, а так же в составе жалобы Заявителем не представлены документы и сведения свидетельствующие об ограничении количества участников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2023-53877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закупки, а также о невозможности формирования заявки на участие в данном аукционе, а также сведений, свидетельствующих о нарушении Заказчиком норм Закона о контрактной системе при установлении оспариваемых требований к поставляемым товарам.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Комиссия Управления приходит к выводу о том, что вышеуказанный довод Заявителя является необоснованным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 на наличие противоречивых сведения, в частности, по п.6 Технического задания к поставке необходимы «Перчатки смотровые/процедурные нитриловые, неопудренные, антибактериальные, размер М», при этом в требованиях к данной позиции Заказчиком установлено: «отсутствие внутренних и внешних синтетических и натуральных (полимерных, антибакт-х и др.) покрытий».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описание в соответствии с номенклатурным классификатором медицинских изделий не является описанием необходимого к поставке товара и не может оцениваться как требования к товару.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при наличии обоснованных сомнений в формулировке технического задания Заявитель вправе направить запрос о даче разъяснений, при этом такой запрос направлен не был, ввиду чего оспариваемая Заявителем формулировка ясна участникам закупки и не требует дополнительных пояснений.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Комиссия Управления отмечает, что Техническое задание содержит противоречивые требования, что препятствуют формированию и подаче заявки на участие в закупке, поскольку установленные характеристики не позволяют точно определить потребности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п.1 ч.1 ст.33, п.1 ч.2 ст.42 Закона о контрактной системе, что также содержит признаки состава административного правонарушения, ответственность за которое предусмотрена ч.4.2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Заявителя, совокупность установленных Заказчиком параметров к закупаемым товарам не позволяет участникам закупки подобрать соответствующий товар, поскольку такой товар не существует на рынке зарегистрированных медицинских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 закупаемым товарам с характеристиками, заявленными в техническом задании соответствуют товары следующих производителей: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01" w:val="left"/>
        </w:tabs>
        <w:bidi w:val="0"/>
        <w:spacing w:before="0" w:after="0"/>
        <w:ind w:left="0" w:right="0" w:firstLine="700"/>
        <w:jc w:val="both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— диагностические ТЕТ-А-ТЕТ® — нитриловые — нестерильные одноразовые неопудренные Вариант исполнения: Перчатки диагностические ТЕТ-А- ТЕТ® ^1п1е 1)иа1 нитриловые — нестерильные — одноразовые неопудренные текстурированные на пальцах, двухцветные, с венчиком «81апс1агс1», цвет: оранжевый, размеры Х8, 8, М. Ь, ХЬ, ХХТ- ХХХЬ. (РУ № РЗН 2019/9264 от 20.11.2019);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89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— медицинские — диагностические — (смотровые) — одноразовые нестерильные ВЕ^ОVУ@ специализированные (РУ № РЗН 2022/17549);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89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— медицинские — диагностические (смотровые) — одноразовые нестерильные ВЕЫОУУ (РУ № РЗН 2021/14576);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89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медицинские диагностические (смотровые) и хирургические одноразовые «В1-'М')УУ» стерильные и нестерильные (РУ № ФСЗ 2012/12488).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представленные наименования продукции и регистрационные удостоверения свидетельствуют о наличии нескольких производителей, полностью удовлетворяющих требованиям Технического задания.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составе жалобы, а также на заседании Комиссии Управления представителем Заявителя не представлены документы и сведения свидетельствующие об ограничении количества участников закупки, а также о невозможности формирования заявки на участие в данном аукционе,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содержащиеся в техническом задании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техническом задании.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также отмечает, что предъявленные Заказчиком требования к поставляемому товару в равной степени распространялись на всех участников аукциона,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5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Исследовав представленные материалы, руководствуясь Законом о контрактной системе, Комиссия Управления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2023-53877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6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Тужина С.В. на действия ГБУЗ «КДП №121 ДЗМ» обоснованной в части установления неправомерных и противоречивых требований к закупаемым изделиям.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6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п.1 ч.1 ст.33, п.1 ч.2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6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64" w:val="left"/>
        </w:tabs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39700" distB="262699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5039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950000000000003pt;margin-top:11.pt;width:145.70000000000002pt;height:19.699999999999999pt;z-index:-125829372;mso-wrap-distance-left:0;mso-wrap-distance-top:11.pt;mso-wrap-distance-right:0;mso-wrap-distance-bottom:206.84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2267585" distL="0" distR="1789430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15000000000003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301625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23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1947545" distL="0" distR="0" simplePos="0" relativeHeight="125829384" behindDoc="0" locked="0" layoutInCell="1" allowOverlap="1">
                <wp:simplePos x="0" y="0"/>
                <wp:positionH relativeFrom="page">
                  <wp:posOffset>3122295</wp:posOffset>
                </wp:positionH>
                <wp:positionV relativeFrom="paragraph">
                  <wp:posOffset>758190</wp:posOffset>
                </wp:positionV>
                <wp:extent cx="2170430" cy="3111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69696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КАЗАРИН СЕРГЕЙ ИГОРЕВИЧ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00СА17306423В8С790А31806189СЭЕ338Е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9696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color w:val="69696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24.01.2023 по 18.04.2024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5.84999999999999pt;margin-top:59.700000000000003pt;width:170.90000000000001pt;height:24.5pt;z-index:-125829369;mso-wrap-distance-left:0;mso-wrap-distance-top:59.700000000000003pt;mso-wrap-distance-right:0;mso-wrap-distance-bottom:153.34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69696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КАЗАРИН СЕРГЕЙ ИГОРЕВИЧ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00СА17306423В8С790А31806189СЭЕ338Е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9696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color w:val="69696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24.01.2023 по 18.04.2024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21740" distB="154241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1221740</wp:posOffset>
                </wp:positionV>
                <wp:extent cx="1341120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7.950000000000003pt;margin-top:96.200000000000003pt;width:105.60000000000001pt;height:19.900000000000002pt;z-index:-125829367;mso-wrap-distance-left:0;mso-wrap-distance-top:96.200000000000003pt;mso-wrap-distance-right:0;mso-wrap-distance-bottom:121.4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32890" distB="911225" distL="0" distR="1789430" simplePos="0" relativeHeight="125829388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1532890</wp:posOffset>
            </wp:positionV>
            <wp:extent cx="389890" cy="572770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1971675</wp:posOffset>
                </wp:positionV>
                <wp:extent cx="1280160" cy="1035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1.15000000000003pt;margin-top:155.25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1661160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55000000000001pt;margin-top:130.8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127250" distB="591185" distL="0" distR="0" simplePos="0" relativeHeight="125829389" behindDoc="0" locked="0" layoutInCell="1" allowOverlap="1">
                <wp:simplePos x="0" y="0"/>
                <wp:positionH relativeFrom="page">
                  <wp:posOffset>3122295</wp:posOffset>
                </wp:positionH>
                <wp:positionV relativeFrom="paragraph">
                  <wp:posOffset>2127250</wp:posOffset>
                </wp:positionV>
                <wp:extent cx="2170430" cy="29845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9696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Мацнева Мария Олеговна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008926921ЕВ71Е0631А2ЕЕ19ЕВВ8Е80В4Е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9696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28.03.2023 </w:t>
                            </w:r>
                            <w:r>
                              <w:rPr>
                                <w:color w:val="69696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20.06.2024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5.84999999999999pt;margin-top:167.5pt;width:170.90000000000001pt;height:23.5pt;z-index:-125829364;mso-wrap-distance-left:0;mso-wrap-distance-top:167.5pt;mso-wrap-distance-right:0;mso-wrap-distance-bottom:46.550000000000004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9696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Мацнева Мария Олеговна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008926921ЕВ71Е0631А2ЕЕ19ЕВВ8Е80В4Е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9696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28.03.2023 </w:t>
                      </w:r>
                      <w:r>
                        <w:rPr>
                          <w:color w:val="69696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20.06.2024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17470" distB="0" distL="0" distR="1789430" simplePos="0" relativeHeight="125829391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2617470</wp:posOffset>
            </wp:positionV>
            <wp:extent cx="353695" cy="402590"/>
            <wp:wrapTopAndBottom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2708910</wp:posOffset>
                </wp:positionV>
                <wp:extent cx="1725295" cy="2559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77.55000000000001pt;margin-top:213.3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47420" distB="219075" distL="0" distR="0" simplePos="0" relativeHeight="125829392" behindDoc="0" locked="0" layoutInCell="1" allowOverlap="1">
                <wp:simplePos x="0" y="0"/>
                <wp:positionH relativeFrom="page">
                  <wp:posOffset>5911215</wp:posOffset>
                </wp:positionH>
                <wp:positionV relativeFrom="paragraph">
                  <wp:posOffset>947420</wp:posOffset>
                </wp:positionV>
                <wp:extent cx="1310640" cy="18503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1850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3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  <w:p>
                            <w:pPr>
                              <w:pStyle w:val="Style2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  <w:bookmarkEnd w:id="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65.44999999999999pt;margin-top:74.600000000000009pt;width:103.2pt;height:145.70000000000002pt;z-index:-125829361;mso-wrap-distance-left:0;mso-wrap-distance-top:74.600000000000009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3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  <w:p>
                      <w:pPr>
                        <w:pStyle w:val="Style2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79ЕЗЕ4О372В53АЕ5Э9427АО21ЕА4916В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3820"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26.09.2022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по 20.12.2023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158" w:right="532" w:bottom="335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10131425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2023-53877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797.7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2023-53877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10131425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2023-53877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7.7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2023-53877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10139045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2023-53877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99999999999999pt;margin-top:798.35000000000002pt;width:57.100000000000001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2023-53877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10131425</wp:posOffset>
              </wp:positionV>
              <wp:extent cx="72517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2023-53877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00000000000003pt;margin-top:797.75pt;width:57.100000000000001pt;height:7.90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2023-53877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1303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7.30000000000001pt;margin-top:37.5pt;width:8.9000000000000004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130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7.30000000000001pt;margin-top:37.5pt;width:8.9000000000000004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7.30000000000001pt;margin-top:37.5pt;width:10.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7.30000000000001pt;margin-top:37.5pt;width:10.1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1303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7.30000000000001pt;margin-top:37.5pt;width:8.9000000000000004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7.30000000000001pt;margin-top:37.5pt;width:10.1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  <w:style w:type="character" w:customStyle="1" w:styleId="CharStyle26">
    <w:name w:val="Заголовок №2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  <w:style w:type="paragraph" w:customStyle="1" w:styleId="Style25">
    <w:name w:val="Заголовок №2"/>
    <w:basedOn w:val="Normal"/>
    <w:link w:val="CharStyle26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image" Target="media/image2.jpeg"/><Relationship Id="rId22" Type="http://schemas.openxmlformats.org/officeDocument/2006/relationships/image" Target="media/image2.jpeg" TargetMode="External"/><Relationship Id="rId23" Type="http://schemas.openxmlformats.org/officeDocument/2006/relationships/image" Target="media/image3.jpeg"/><Relationship Id="rId24" Type="http://schemas.openxmlformats.org/officeDocument/2006/relationships/image" Target="media/image3.jpeg" TargetMode="External"/><Relationship Id="rId25" Type="http://schemas.openxmlformats.org/officeDocument/2006/relationships/image" Target="media/image4.jpeg"/><Relationship Id="rId26" Type="http://schemas.openxmlformats.org/officeDocument/2006/relationships/image" Target="media/image4.jpeg" TargetMode="External"/></Relationships>
</file>