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по г. Москве</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Мясницкий проезд, д.4, стр. 1 107078, г. Москва, тел. (495) 784-75-05, факс (495) 607-49-29 факс (495) 607-42-92, </w:t>
      </w:r>
      <w:r>
        <w:rPr>
          <w:spacing w:val="0"/>
          <w:w w:val="100"/>
          <w:position w:val="0"/>
          <w:u w:val="single"/>
          <w:shd w:val="clear" w:color="auto" w:fill="auto"/>
          <w:lang w:val="ru-RU" w:eastAsia="ru-RU" w:bidi="ru-RU"/>
        </w:rPr>
        <w:t>е-тай: 1о77@Га8.еоу.п1</w:t>
      </w:r>
    </w:p>
    <w:p>
      <w:pPr>
        <w:widowControl w:val="0"/>
        <w:jc w:val="center"/>
        <w:rPr>
          <w:sz w:val="2"/>
          <w:szCs w:val="2"/>
        </w:rPr>
      </w:pPr>
      <w:r>
        <w:drawing>
          <wp:inline>
            <wp:extent cx="2597150" cy="99377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993775"/>
                    </a:xfrm>
                    <a:prstGeom prst="rect"/>
                  </pic:spPr>
                </pic:pic>
              </a:graphicData>
            </a:graphic>
          </wp:inline>
        </w:drawing>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 «Жилищник района Вешняки»</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тГо@ро81.дЬи\\ ги</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Кудрина С.К.</w:t>
      </w:r>
    </w:p>
    <w:p>
      <w:pPr>
        <w:pStyle w:val="Style10"/>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98" w:right="1189" w:bottom="621" w:left="1332" w:header="0" w:footer="3" w:gutter="0"/>
          <w:pgNumType w:start="1"/>
          <w:cols w:num="2" w:space="720" w:equalWidth="0">
            <w:col w:w="3773" w:space="1301"/>
            <w:col w:w="4306"/>
          </w:cols>
          <w:noEndnote/>
          <w:titlePg/>
          <w:rtlGutter w:val="0"/>
          <w:docGrid w:linePitch="360"/>
        </w:sectPr>
      </w:pPr>
      <w:r>
        <w:rPr>
          <w:color w:val="000000"/>
          <w:spacing w:val="0"/>
          <w:w w:val="100"/>
          <w:position w:val="0"/>
          <w:shd w:val="clear" w:color="auto" w:fill="auto"/>
          <w:lang w:val="ru-RU" w:eastAsia="ru-RU" w:bidi="ru-RU"/>
        </w:rPr>
        <w:t>рк-8паЪ@Ък.ги</w:t>
      </w:r>
    </w:p>
    <w:p>
      <w:pPr>
        <w:widowControl w:val="0"/>
        <w:spacing w:before="32" w:after="3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55" w:right="0" w:bottom="465" w:left="0"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0"/>
        <w:keepNext w:val="0"/>
        <w:keepLines w:val="0"/>
        <w:widowControl w:val="0"/>
        <w:shd w:val="clear" w:color="auto" w:fill="auto"/>
        <w:tabs>
          <w:tab w:pos="8918"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077/06/106-17393/2023 о нарушении</w:t>
        <w:br/>
        <w:t>законодательства о контрактной системе</w:t>
        <w:br/>
        <w:t>11.12.2023</w:t>
        <w:tab/>
        <w:t>г. Москва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ГБУ «Жилищник района Вешняки», ИП Кудрина С.К., о времени и порядке заседания Комиссии Управления уведомленных посредством функционала Единой информационной системы,</w:t>
      </w:r>
    </w:p>
    <w:p>
      <w:pPr>
        <w:pStyle w:val="Style10"/>
        <w:keepNext w:val="0"/>
        <w:keepLines w:val="0"/>
        <w:widowControl w:val="0"/>
        <w:shd w:val="clear" w:color="auto" w:fill="auto"/>
        <w:bidi w:val="0"/>
        <w:spacing w:before="0" w:after="840" w:line="240" w:lineRule="auto"/>
        <w:ind w:left="0" w:right="0" w:firstLine="720"/>
        <w:jc w:val="both"/>
      </w:pPr>
      <w:r>
        <w:rPr>
          <w:color w:val="000000"/>
          <w:spacing w:val="0"/>
          <w:w w:val="100"/>
          <w:position w:val="0"/>
          <w:shd w:val="clear" w:color="auto" w:fill="auto"/>
          <w:lang w:val="ru-RU" w:eastAsia="ru-RU" w:bidi="ru-RU"/>
        </w:rPr>
        <w:t>рассмотрев жалобу ИП Кудрина С.К. (далее — Заявитель) на действия ГБУ «Жилищник района Вешняки» (далее — Заказчик) при проведении запроса котировок в электронной форме на право заключения государственного контракта на поставку кроватей для нужд бытового городка ГБУ «Жилищник района Вешняки» (Закупка № 0373200006223001321) (далее - запрос котировок)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15"/>
        <w:keepNext/>
        <w:keepLines/>
        <w:widowControl w:val="0"/>
        <w:shd w:val="clear" w:color="auto" w:fill="auto"/>
        <w:bidi w:val="0"/>
        <w:spacing w:before="0" w:after="24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закупки.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заседании Комиссии Управления Заказчиком представлены запрашиваемые документы посредством функционала Единой информационной системы.</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выразившиеся в неправомерном отклонении заявки Заявителя.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01.12.2023 №ИЗК1 заявка ИП Кудрина С.К. с идентификационным номером 273419 отклонена на следующем основании: </w:t>
      </w:r>
      <w:r>
        <w:rPr>
          <w:i/>
          <w:iCs/>
          <w:color w:val="000000"/>
          <w:spacing w:val="0"/>
          <w:w w:val="100"/>
          <w:position w:val="0"/>
          <w:shd w:val="clear" w:color="auto" w:fill="auto"/>
          <w:lang w:val="ru-RU" w:eastAsia="ru-RU" w:bidi="ru-RU"/>
        </w:rPr>
        <w:t>«Отклонить заявку на участие в закупке по п.4 ч.12 ст.48 №44-ФЗ «В соответствии с требованиями нормативных правовых актов, принятых в соответствии со ст. 14 Закона № 44 ФЗ» Не соответствие представленной информации о товаре из реестра российской промышленной продукции</w:t>
      </w:r>
    </w:p>
    <w:p>
      <w:pPr>
        <w:pStyle w:val="Style10"/>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(участником закупки приложены выписки № 1552\61\2023, №1552\8\2023, №4231\2\2023 на не соответствующий товар, а именно «Кровать деревянная»»</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60"/>
        <w:jc w:val="both"/>
        <w:sectPr>
          <w:footnotePr>
            <w:pos w:val="pageBottom"/>
            <w:numFmt w:val="decimal"/>
            <w:numRestart w:val="continuous"/>
          </w:footnotePr>
          <w:type w:val="continuous"/>
          <w:pgSz w:w="11900" w:h="16840"/>
          <w:pgMar w:top="655" w:right="538" w:bottom="465" w:left="1089" w:header="0" w:footer="3" w:gutter="0"/>
          <w:cols w:space="720"/>
          <w:noEndnote/>
          <w:rtlGutter w:val="0"/>
          <w:docGrid w:linePitch="360"/>
        </w:sectPr>
      </w:pPr>
      <w:r>
        <w:rPr>
          <w:color w:val="000000"/>
          <w:spacing w:val="0"/>
          <w:w w:val="100"/>
          <w:position w:val="0"/>
          <w:shd w:val="clear" w:color="auto" w:fill="auto"/>
          <w:lang w:val="ru-RU" w:eastAsia="ru-RU" w:bidi="ru-RU"/>
        </w:rPr>
        <w:t xml:space="preserve">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установлены в соответствии со статьей 14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о проведении запроса котировок в электронной форме от 21.11.2023 №0373200006223001321 установлен запрет на допуск товаров, происходящих из иностранных государств, в соответствии с постановлением Правительства РФ от 30 апреля 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 ст.50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 постановления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 (далее — Перечень).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п.6 постановления №616 в целях реализации настоящего постановления:</w:t>
      </w:r>
    </w:p>
    <w:p>
      <w:pPr>
        <w:pStyle w:val="Style10"/>
        <w:keepNext w:val="0"/>
        <w:keepLines w:val="0"/>
        <w:widowControl w:val="0"/>
        <w:numPr>
          <w:ilvl w:val="0"/>
          <w:numId w:val="1"/>
        </w:numPr>
        <w:shd w:val="clear" w:color="auto" w:fill="auto"/>
        <w:tabs>
          <w:tab w:pos="11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10"/>
        <w:keepNext w:val="0"/>
        <w:keepLines w:val="0"/>
        <w:widowControl w:val="0"/>
        <w:numPr>
          <w:ilvl w:val="0"/>
          <w:numId w:val="1"/>
        </w:numPr>
        <w:shd w:val="clear" w:color="auto" w:fill="auto"/>
        <w:tabs>
          <w:tab w:pos="11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10"/>
        <w:keepNext w:val="0"/>
        <w:keepLines w:val="0"/>
        <w:widowControl w:val="0"/>
        <w:shd w:val="clear" w:color="auto" w:fill="auto"/>
        <w:bidi w:val="0"/>
        <w:spacing w:before="0" w:after="0" w:line="240" w:lineRule="auto"/>
        <w:ind w:left="0" w:right="0" w:firstLine="720"/>
        <w:jc w:val="both"/>
        <w:rPr>
          <w:sz w:val="20"/>
          <w:szCs w:val="20"/>
        </w:rPr>
      </w:pPr>
      <w:r>
        <w:rPr>
          <w:color w:val="000000"/>
          <w:spacing w:val="0"/>
          <w:w w:val="100"/>
          <w:position w:val="0"/>
          <w:sz w:val="28"/>
          <w:szCs w:val="28"/>
          <w:shd w:val="clear" w:color="auto" w:fill="auto"/>
          <w:lang w:val="ru-RU" w:eastAsia="ru-RU" w:bidi="ru-RU"/>
        </w:rPr>
        <w:t xml:space="preserve">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w:t>
      </w:r>
      <w:r>
        <w:rPr>
          <w:rFonts w:ascii="Cambria" w:eastAsia="Cambria" w:hAnsi="Cambria" w:cs="Cambria"/>
          <w:color w:val="000000"/>
          <w:spacing w:val="0"/>
          <w:w w:val="100"/>
          <w:position w:val="0"/>
          <w:sz w:val="20"/>
          <w:szCs w:val="20"/>
          <w:shd w:val="clear" w:color="auto" w:fill="auto"/>
          <w:lang w:val="ru-RU" w:eastAsia="ru-RU" w:bidi="ru-RU"/>
        </w:rPr>
        <w:t>2023-60848</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реестровых записях о товаре и совокупном количестве баллов включается в контракт;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Комиссия Управления отмечает, что п.10 постановления №616 установлен исчерпывающий перечень документов и информации, которая должна содержать заявка для подтверждения своего соответствия требованиям постановления №616.</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в Приложении № 1 к Техническому заданию Заказчиком определен перечень необходимых к поставке товаров, в частности:</w:t>
      </w:r>
    </w:p>
    <w:p>
      <w:pPr>
        <w:pStyle w:val="Style10"/>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«Кровать для взрослых бытового назначения. Вид материала каркаса кровати: Металл. Вид материала металлического каркаса: Металл. Вид материала ножек/опор: Металл»</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69" w:lineRule="auto"/>
        <w:ind w:left="0" w:right="0" w:firstLine="740"/>
        <w:jc w:val="both"/>
        <w:rPr>
          <w:sz w:val="20"/>
          <w:szCs w:val="20"/>
        </w:rPr>
        <w:sectPr>
          <w:headerReference w:type="default" r:id="rId13"/>
          <w:footerReference w:type="default" r:id="rId14"/>
          <w:footnotePr>
            <w:pos w:val="pageBottom"/>
            <w:numFmt w:val="decimal"/>
            <w:numRestart w:val="continuous"/>
          </w:footnotePr>
          <w:type w:val="continuous"/>
          <w:pgSz w:w="11900" w:h="16840"/>
          <w:pgMar w:top="655" w:right="538" w:bottom="465" w:left="1089" w:header="0" w:footer="37"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Вместе с этим Комиссией Управления установлено, что в пп. 6 п. 14 Информационной карты по проведению аукциона в электронной форме в «Требованиях к содержанию, составу заявки на участие в электронном аукционе» установлено, что заявка на участие в данной закупочной процедуре должна содержать, в том числе: «Информацию и документы, предусмотренные </w:t>
      </w:r>
      <w:r>
        <w:rPr>
          <w:rFonts w:ascii="Cambria" w:eastAsia="Cambria" w:hAnsi="Cambria" w:cs="Cambria"/>
          <w:color w:val="000000"/>
          <w:spacing w:val="0"/>
          <w:w w:val="100"/>
          <w:position w:val="0"/>
          <w:sz w:val="20"/>
          <w:szCs w:val="20"/>
          <w:shd w:val="clear" w:color="auto" w:fill="auto"/>
          <w:lang w:val="ru-RU" w:eastAsia="ru-RU" w:bidi="ru-RU"/>
        </w:rPr>
        <w:t>2023-60848</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Информация и документы в соответствии с требованиями п. 10 Постановления Правительства РФ от 30.04.2020 К 616, а именно: указание (декларирование) участником в заявке номеров реестровых записей из реестра российской промышленной продукции и/или единого реестра российской радиоэлектронной продукции и/или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К 719) и/или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К 105).».</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0"/>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w:t>
      </w:r>
    </w:p>
    <w:p>
      <w:pPr>
        <w:pStyle w:val="Style10"/>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10"/>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0"/>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ч.2 ст.43 Закона о контрактной системе предложение по критериям, предусмотренным п.2 и (или) 3 ч.1 ст.32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0"/>
        <w:keepNext w:val="0"/>
        <w:keepLines w:val="0"/>
        <w:widowControl w:val="0"/>
        <w:numPr>
          <w:ilvl w:val="0"/>
          <w:numId w:val="3"/>
        </w:numPr>
        <w:shd w:val="clear" w:color="auto" w:fill="auto"/>
        <w:tabs>
          <w:tab w:pos="1062" w:val="left"/>
        </w:tabs>
        <w:bidi w:val="0"/>
        <w:spacing w:before="0" w:after="0" w:line="288" w:lineRule="auto"/>
        <w:ind w:left="0" w:right="0" w:firstLine="720"/>
        <w:jc w:val="both"/>
        <w:rPr>
          <w:sz w:val="20"/>
          <w:szCs w:val="20"/>
        </w:rPr>
        <w:sectPr>
          <w:footnotePr>
            <w:pos w:val="pageBottom"/>
            <w:numFmt w:val="decimal"/>
            <w:numRestart w:val="continuous"/>
          </w:footnotePr>
          <w:pgSz w:w="11900" w:h="16840"/>
          <w:pgMar w:top="1162" w:right="550" w:bottom="677" w:left="1106" w:header="0" w:footer="24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w:t>
      </w:r>
      <w:r>
        <w:rPr>
          <w:rFonts w:ascii="Cambria" w:eastAsia="Cambria" w:hAnsi="Cambria" w:cs="Cambria"/>
          <w:color w:val="000000"/>
          <w:spacing w:val="0"/>
          <w:w w:val="100"/>
          <w:position w:val="0"/>
          <w:sz w:val="20"/>
          <w:szCs w:val="20"/>
          <w:shd w:val="clear" w:color="auto" w:fill="auto"/>
          <w:lang w:val="ru-RU" w:eastAsia="ru-RU" w:bidi="ru-RU"/>
        </w:rPr>
        <w:t>2023-60848</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отклонения заявки на участие в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составе заявки ООО ИП Кудрина С.К. представлены сведения о необходимых к поставке товаре: «</w:t>
      </w:r>
      <w:r>
        <w:rPr>
          <w:i/>
          <w:iCs/>
          <w:color w:val="000000"/>
          <w:spacing w:val="0"/>
          <w:w w:val="100"/>
          <w:position w:val="0"/>
          <w:shd w:val="clear" w:color="auto" w:fill="auto"/>
          <w:lang w:val="ru-RU" w:eastAsia="ru-RU" w:bidi="ru-RU"/>
        </w:rPr>
        <w:t>Кровать для взрослых бытового назначения</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1552\61\2023 - Кровать двухъярусная, арт. №063/2023. Материал: ЛДСП</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1552\8\2023 - Кровать двухъярусная, арт. №064/2023. Материал: ЛДСП</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4231\2\2023 - Кровать двухъярусная, арт. 447.33.01.062.01. Материал: ЛДСП</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пп.«а» п. 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представленных возражениях Заказчиком указано, что материал изготовления товаров за указанными записями - ЛДСП, а не металл, что подтверждается официальным сайтом Минпромторга.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Заказчика пришла к выводу о том, что представленные реестровые записи не распространяют своё действия на предлагаемые к поставке товары.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п.1 - 8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0"/>
        <w:keepNext w:val="0"/>
        <w:keepLines w:val="0"/>
        <w:widowControl w:val="0"/>
        <w:numPr>
          <w:ilvl w:val="0"/>
          <w:numId w:val="5"/>
        </w:numPr>
        <w:shd w:val="clear" w:color="auto" w:fill="auto"/>
        <w:tabs>
          <w:tab w:pos="11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5"/>
        </w:numPr>
        <w:shd w:val="clear" w:color="auto" w:fill="auto"/>
        <w:tabs>
          <w:tab w:pos="109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5"/>
        </w:numPr>
        <w:shd w:val="clear" w:color="auto" w:fill="auto"/>
        <w:tabs>
          <w:tab w:pos="11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ст.31 Закона </w:t>
      </w:r>
      <w:r>
        <w:rPr>
          <w:color w:val="000000"/>
          <w:spacing w:val="0"/>
          <w:w w:val="100"/>
          <w:position w:val="0"/>
          <w:shd w:val="clear" w:color="auto" w:fill="auto"/>
          <w:lang w:val="ru-RU" w:eastAsia="ru-RU" w:bidi="ru-RU"/>
        </w:rPr>
        <w:t>о контрактной системе;</w:t>
      </w:r>
    </w:p>
    <w:p>
      <w:pPr>
        <w:pStyle w:val="Style10"/>
        <w:keepNext w:val="0"/>
        <w:keepLines w:val="0"/>
        <w:widowControl w:val="0"/>
        <w:numPr>
          <w:ilvl w:val="0"/>
          <w:numId w:val="5"/>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п.5 ч. 1 ст.43 Закона о контрактной системе);</w:t>
      </w:r>
    </w:p>
    <w:p>
      <w:pPr>
        <w:pStyle w:val="Style10"/>
        <w:keepNext w:val="0"/>
        <w:keepLines w:val="0"/>
        <w:widowControl w:val="0"/>
        <w:numPr>
          <w:ilvl w:val="0"/>
          <w:numId w:val="5"/>
        </w:numPr>
        <w:shd w:val="clear" w:color="auto" w:fill="auto"/>
        <w:tabs>
          <w:tab w:pos="109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0"/>
        <w:keepNext w:val="0"/>
        <w:keepLines w:val="0"/>
        <w:widowControl w:val="0"/>
        <w:numPr>
          <w:ilvl w:val="0"/>
          <w:numId w:val="5"/>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0"/>
        <w:keepNext w:val="0"/>
        <w:keepLines w:val="0"/>
        <w:widowControl w:val="0"/>
        <w:numPr>
          <w:ilvl w:val="0"/>
          <w:numId w:val="5"/>
        </w:numPr>
        <w:shd w:val="clear" w:color="auto" w:fill="auto"/>
        <w:tabs>
          <w:tab w:pos="181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10"/>
        <w:keepNext w:val="0"/>
        <w:keepLines w:val="0"/>
        <w:widowControl w:val="0"/>
        <w:numPr>
          <w:ilvl w:val="0"/>
          <w:numId w:val="5"/>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у комиссии по осуществлению закупок Заказчика имелись основания для признания заявки Заявителя не соответствующей требованиям законодательства о контрактной системе, ввиду чего решение об отклонении заявки Заявителя является правомерным.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5"/>
        <w:keepNext/>
        <w:keepLines/>
        <w:widowControl w:val="0"/>
        <w:shd w:val="clear" w:color="auto" w:fill="auto"/>
        <w:bidi w:val="0"/>
        <w:spacing w:before="0" w:after="280" w:line="240" w:lineRule="auto"/>
        <w:ind w:left="0" w:right="0" w:firstLine="0"/>
        <w:jc w:val="center"/>
      </w:pPr>
      <w:bookmarkStart w:id="4" w:name="bookmark4"/>
      <w:r>
        <w:rPr>
          <w:color w:val="000000"/>
          <w:spacing w:val="0"/>
          <w:w w:val="100"/>
          <w:position w:val="0"/>
          <w:shd w:val="clear" w:color="auto" w:fill="auto"/>
          <w:lang w:val="ru-RU" w:eastAsia="ru-RU" w:bidi="ru-RU"/>
        </w:rPr>
        <w:t>Р Е Ш И Л А:</w:t>
      </w:r>
      <w:bookmarkEnd w:id="4"/>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ИП Кудрина С.К. на действия комиссии ГБУ «Жилищник района Вешняки» необоснованной.</w:t>
      </w:r>
    </w:p>
    <w:p>
      <w:pPr>
        <w:pStyle w:val="Style10"/>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посредством функционала Единой информационной системы.</w:t>
      </w:r>
    </w:p>
    <w:p>
      <w:pPr>
        <w:pStyle w:val="Style10"/>
        <w:keepNext w:val="0"/>
        <w:keepLines w:val="0"/>
        <w:widowControl w:val="0"/>
        <w:shd w:val="clear" w:color="auto" w:fill="auto"/>
        <w:bidi w:val="0"/>
        <w:spacing w:before="0" w:after="40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tbl>
      <w:tblPr>
        <w:tblOverlap w:val="never"/>
        <w:jc w:val="center"/>
        <w:tblLayout w:type="fixed"/>
      </w:tblPr>
      <w:tblGrid>
        <w:gridCol w:w="3312"/>
        <w:gridCol w:w="3768"/>
        <w:gridCol w:w="3134"/>
      </w:tblGrid>
      <w:tr>
        <w:trPr>
          <w:trHeight w:val="1392" w:hRule="exact"/>
        </w:trPr>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c>
        <w:tc>
          <w:tcPr>
            <w:tcBorders/>
            <w:shd w:val="clear" w:color="auto" w:fill="auto"/>
            <w:vAlign w:val="center"/>
          </w:tcPr>
          <w:p>
            <w:pPr>
              <w:pStyle w:val="Style20"/>
              <w:keepNext w:val="0"/>
              <w:keepLines w:val="0"/>
              <w:widowControl w:val="0"/>
              <w:shd w:val="clear" w:color="auto" w:fill="auto"/>
              <w:bidi w:val="0"/>
              <w:spacing w:before="0" w:after="120" w:line="240" w:lineRule="auto"/>
              <w:ind w:left="0" w:right="0"/>
              <w:jc w:val="left"/>
              <w:rPr>
                <w:sz w:val="22"/>
                <w:szCs w:val="22"/>
              </w:rPr>
            </w:pPr>
            <w:r>
              <w:rPr>
                <w:rFonts w:ascii="Arial" w:eastAsia="Arial" w:hAnsi="Arial" w:cs="Arial"/>
                <w:b/>
                <w:bCs/>
                <w:color w:val="858585"/>
                <w:spacing w:val="0"/>
                <w:w w:val="100"/>
                <w:position w:val="0"/>
                <w:sz w:val="22"/>
                <w:szCs w:val="22"/>
                <w:shd w:val="clear" w:color="auto" w:fill="auto"/>
                <w:lang w:val="ru-RU" w:eastAsia="ru-RU" w:bidi="ru-RU"/>
              </w:rPr>
              <w:t>Мост /для подписи:</w:t>
            </w:r>
          </w:p>
          <w:p>
            <w:pPr>
              <w:pStyle w:val="Style20"/>
              <w:keepNext w:val="0"/>
              <w:keepLines w:val="0"/>
              <w:widowControl w:val="0"/>
              <w:shd w:val="clear" w:color="auto" w:fill="auto"/>
              <w:bidi w:val="0"/>
              <w:spacing w:before="0" w:after="0" w:line="240" w:lineRule="auto"/>
              <w:ind w:left="0" w:right="0"/>
              <w:jc w:val="left"/>
              <w:rPr>
                <w:sz w:val="26"/>
                <w:szCs w:val="26"/>
              </w:rPr>
            </w:pPr>
            <w:r>
              <w:rPr>
                <w:rFonts w:ascii="Arial" w:eastAsia="Arial" w:hAnsi="Arial" w:cs="Arial"/>
                <w:b/>
                <w:bCs/>
                <w:color w:val="858585"/>
                <w:spacing w:val="0"/>
                <w:w w:val="100"/>
                <w:position w:val="0"/>
                <w:sz w:val="26"/>
                <w:szCs w:val="26"/>
                <w:shd w:val="clear" w:color="auto" w:fill="auto"/>
                <w:lang w:val="ru-RU" w:eastAsia="ru-RU" w:bidi="ru-RU"/>
              </w:rPr>
              <w:t>Грешнёна Д. С-</w:t>
            </w:r>
          </w:p>
        </w:tc>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c>
      </w:tr>
      <w:tr>
        <w:trPr>
          <w:trHeight w:val="2069" w:hRule="exact"/>
        </w:trPr>
        <w:tc>
          <w:tcPr>
            <w:tcBorders/>
            <w:shd w:val="clear" w:color="auto" w:fill="auto"/>
            <w:vAlign w:val="top"/>
          </w:tcPr>
          <w:p>
            <w:pPr>
              <w:pStyle w:val="Style20"/>
              <w:keepNext w:val="0"/>
              <w:keepLines w:val="0"/>
              <w:widowControl w:val="0"/>
              <w:shd w:val="clear" w:color="auto" w:fill="auto"/>
              <w:bidi w:val="0"/>
              <w:spacing w:before="16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20"/>
              <w:keepNext w:val="0"/>
              <w:keepLines w:val="0"/>
              <w:widowControl w:val="0"/>
              <w:shd w:val="clear" w:color="auto" w:fill="auto"/>
              <w:bidi w:val="0"/>
              <w:spacing w:before="0" w:after="120" w:line="240" w:lineRule="auto"/>
              <w:ind w:left="0" w:right="0"/>
              <w:jc w:val="both"/>
              <w:rPr>
                <w:sz w:val="22"/>
                <w:szCs w:val="22"/>
              </w:rPr>
            </w:pPr>
            <w:r>
              <w:rPr>
                <w:rFonts w:ascii="Arial" w:eastAsia="Arial" w:hAnsi="Arial" w:cs="Arial"/>
                <w:b/>
                <w:bCs/>
                <w:color w:val="858585"/>
                <w:spacing w:val="0"/>
                <w:w w:val="100"/>
                <w:position w:val="0"/>
                <w:sz w:val="22"/>
                <w:szCs w:val="22"/>
                <w:shd w:val="clear" w:color="auto" w:fill="auto"/>
                <w:lang w:val="ru-RU" w:eastAsia="ru-RU" w:bidi="ru-RU"/>
              </w:rPr>
              <w:t>Мссго для подписи:</w:t>
            </w:r>
          </w:p>
          <w:p>
            <w:pPr>
              <w:pStyle w:val="Style20"/>
              <w:keepNext w:val="0"/>
              <w:keepLines w:val="0"/>
              <w:widowControl w:val="0"/>
              <w:shd w:val="clear" w:color="auto" w:fill="auto"/>
              <w:bidi w:val="0"/>
              <w:spacing w:before="0" w:after="0" w:line="240" w:lineRule="auto"/>
              <w:ind w:left="0" w:right="0"/>
              <w:jc w:val="both"/>
              <w:rPr>
                <w:sz w:val="26"/>
                <w:szCs w:val="26"/>
              </w:rPr>
            </w:pPr>
            <w:r>
              <w:rPr>
                <w:rFonts w:ascii="Arial" w:eastAsia="Arial" w:hAnsi="Arial" w:cs="Arial"/>
                <w:b/>
                <w:bCs/>
                <w:color w:val="858585"/>
                <w:spacing w:val="0"/>
                <w:w w:val="100"/>
                <w:position w:val="0"/>
                <w:sz w:val="26"/>
                <w:szCs w:val="26"/>
                <w:shd w:val="clear" w:color="auto" w:fill="auto"/>
                <w:lang w:val="ru-RU" w:eastAsia="ru-RU" w:bidi="ru-RU"/>
              </w:rPr>
              <w:t>Мацнена М. 0.</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c>
      </w:tr>
      <w:tr>
        <w:trPr>
          <w:trHeight w:val="1411"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0"/>
              <w:keepNext w:val="0"/>
              <w:keepLines w:val="0"/>
              <w:widowControl w:val="0"/>
              <w:shd w:val="clear" w:color="auto" w:fill="auto"/>
              <w:bidi w:val="0"/>
              <w:spacing w:before="0" w:after="120" w:line="240" w:lineRule="auto"/>
              <w:ind w:left="0" w:right="0"/>
              <w:jc w:val="left"/>
              <w:rPr>
                <w:sz w:val="22"/>
                <w:szCs w:val="22"/>
              </w:rPr>
            </w:pPr>
            <w:r>
              <w:rPr>
                <w:rFonts w:ascii="Arial" w:eastAsia="Arial" w:hAnsi="Arial" w:cs="Arial"/>
                <w:b/>
                <w:bCs/>
                <w:color w:val="858585"/>
                <w:spacing w:val="0"/>
                <w:w w:val="100"/>
                <w:position w:val="0"/>
                <w:sz w:val="22"/>
                <w:szCs w:val="22"/>
                <w:shd w:val="clear" w:color="auto" w:fill="auto"/>
                <w:lang w:val="ru-RU" w:eastAsia="ru-RU" w:bidi="ru-RU"/>
              </w:rPr>
              <w:t>Мссго доя подписи:</w:t>
            </w:r>
          </w:p>
          <w:p>
            <w:pPr>
              <w:pStyle w:val="Style20"/>
              <w:keepNext w:val="0"/>
              <w:keepLines w:val="0"/>
              <w:widowControl w:val="0"/>
              <w:shd w:val="clear" w:color="auto" w:fill="auto"/>
              <w:bidi w:val="0"/>
              <w:spacing w:before="0" w:after="0" w:line="240" w:lineRule="auto"/>
              <w:ind w:left="0" w:right="0"/>
              <w:jc w:val="left"/>
              <w:rPr>
                <w:sz w:val="26"/>
                <w:szCs w:val="26"/>
              </w:rPr>
            </w:pPr>
            <w:r>
              <w:rPr>
                <w:rFonts w:ascii="Arial" w:eastAsia="Arial" w:hAnsi="Arial" w:cs="Arial"/>
                <w:b/>
                <w:bCs/>
                <w:color w:val="858585"/>
                <w:spacing w:val="0"/>
                <w:w w:val="100"/>
                <w:position w:val="0"/>
                <w:sz w:val="26"/>
                <w:szCs w:val="26"/>
                <w:shd w:val="clear" w:color="auto" w:fill="auto"/>
                <w:lang w:val="ru-RU" w:eastAsia="ru-RU" w:bidi="ru-RU"/>
              </w:rPr>
              <w:t>Рахма1уллаев А. И.</w:t>
            </w:r>
          </w:p>
        </w:tc>
        <w:tc>
          <w:tcPr>
            <w:tcBorders/>
            <w:shd w:val="clear" w:color="auto" w:fill="auto"/>
            <w:vAlign w:val="top"/>
          </w:tcPr>
          <w:p>
            <w:pPr>
              <w:pStyle w:val="Style20"/>
              <w:keepNext w:val="0"/>
              <w:keepLines w:val="0"/>
              <w:widowControl w:val="0"/>
              <w:shd w:val="clear" w:color="auto" w:fill="auto"/>
              <w:bidi w:val="0"/>
              <w:spacing w:before="200" w:after="0" w:line="240" w:lineRule="auto"/>
              <w:ind w:left="0" w:right="0" w:firstLine="0"/>
              <w:jc w:val="right"/>
            </w:pPr>
            <w:r>
              <w:rPr>
                <w:color w:val="000000"/>
                <w:spacing w:val="0"/>
                <w:w w:val="100"/>
                <w:position w:val="0"/>
                <w:shd w:val="clear" w:color="auto" w:fill="auto"/>
                <w:lang w:val="ru-RU" w:eastAsia="ru-RU" w:bidi="ru-RU"/>
              </w:rPr>
              <w:t>А.И. Рахматуллаев</w:t>
            </w:r>
          </w:p>
        </w:tc>
      </w:tr>
    </w:tbl>
    <w:p>
      <w:pPr>
        <w:widowControl w:val="0"/>
        <w:spacing w:after="4799" w:line="1" w:lineRule="exact"/>
      </w:pPr>
    </w:p>
    <w:p>
      <w:pPr>
        <w:pStyle w:val="Style24"/>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Исп.Рахматуллаев А.И. тел.+7 495 784 75 05</w:t>
      </w:r>
    </w:p>
    <w:sectPr>
      <w:headerReference w:type="default" r:id="rId15"/>
      <w:footerReference w:type="default" r:id="rId16"/>
      <w:footnotePr>
        <w:pos w:val="pageBottom"/>
        <w:numFmt w:val="decimal"/>
        <w:numRestart w:val="continuous"/>
      </w:footnotePr>
      <w:pgSz w:w="11900" w:h="16840"/>
      <w:pgMar w:top="1162" w:right="535" w:bottom="1114"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10163810</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2023-60848</w:t>
                          </w:r>
                        </w:p>
                      </w:txbxContent>
                    </wps:txbx>
                    <wps:bodyPr wrap="none" lIns="0" tIns="0" rIns="0" bIns="0">
                      <a:spAutoFit/>
                    </wps:bodyPr>
                  </wps:wsp>
                </a:graphicData>
              </a:graphic>
            </wp:anchor>
          </w:drawing>
        </mc:Choice>
        <mc:Fallback>
          <w:pict>
            <v:shape id="_x0000_s1031" type="#_x0000_t202" style="position:absolute;margin-left:56.850000000000001pt;margin-top:800.30000000000007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2023-60848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2023-60848</w:t>
                          </w:r>
                        </w:p>
                      </w:txbxContent>
                    </wps:txbx>
                    <wps:bodyPr wrap="none" lIns="0" tIns="0" rIns="0" bIns="0">
                      <a:spAutoFit/>
                    </wps:bodyPr>
                  </wps:wsp>
                </a:graphicData>
              </a:graphic>
            </wp:anchor>
          </w:drawing>
        </mc:Choice>
        <mc:Fallback>
          <w:pict>
            <v:shape id="_x0000_s1033" type="#_x0000_t202" style="position:absolute;margin-left:57.pt;margin-top:804.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2023-60848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721995</wp:posOffset>
              </wp:positionH>
              <wp:positionV relativeFrom="page">
                <wp:posOffset>10163810</wp:posOffset>
              </wp:positionV>
              <wp:extent cx="722630" cy="100330"/>
              <wp:wrapNone/>
              <wp:docPr id="13" name="Shape 1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2023-60848</w:t>
                          </w:r>
                        </w:p>
                      </w:txbxContent>
                    </wps:txbx>
                    <wps:bodyPr wrap="none" lIns="0" tIns="0" rIns="0" bIns="0">
                      <a:spAutoFit/>
                    </wps:bodyPr>
                  </wps:wsp>
                </a:graphicData>
              </a:graphic>
            </wp:anchor>
          </w:drawing>
        </mc:Choice>
        <mc:Fallback>
          <w:pict>
            <v:shape id="_x0000_s1039" type="#_x0000_t202" style="position:absolute;margin-left:56.850000000000001pt;margin-top:800.30000000000007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2023-60848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476250</wp:posOffset>
              </wp:positionV>
              <wp:extent cx="57785" cy="103505"/>
              <wp:wrapNone/>
              <wp:docPr id="3" name="Shape 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05000000000001pt;margin-top:37.5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248920</wp:posOffset>
              </wp:positionV>
              <wp:extent cx="57785" cy="103505"/>
              <wp:wrapNone/>
              <wp:docPr id="9" name="Shape 9"/>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pt;margin-top:19.600000000000001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3924935</wp:posOffset>
              </wp:positionH>
              <wp:positionV relativeFrom="page">
                <wp:posOffset>476250</wp:posOffset>
              </wp:positionV>
              <wp:extent cx="57785" cy="103505"/>
              <wp:wrapNone/>
              <wp:docPr id="11" name="Shape 1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05000000000001pt;margin-top:37.5pt;width:4.5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bCs/>
      <w:i w:val="0"/>
      <w:iCs w:val="0"/>
      <w:smallCaps w:val="0"/>
      <w:strike w:val="0"/>
      <w:color w:val="425FA6"/>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4"/>
      <w:szCs w:val="34"/>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sz w:val="28"/>
      <w:szCs w:val="28"/>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5">
    <w:name w:val="Основной текст (3)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220"/>
      <w:jc w:val="center"/>
    </w:pPr>
    <w:rPr>
      <w:rFonts w:ascii="Times New Roman" w:eastAsia="Times New Roman" w:hAnsi="Times New Roman" w:cs="Times New Roman"/>
      <w:b/>
      <w:bCs/>
      <w:i w:val="0"/>
      <w:iCs w:val="0"/>
      <w:smallCaps w:val="0"/>
      <w:strike w:val="0"/>
      <w:color w:val="425FA6"/>
      <w:sz w:val="19"/>
      <w:szCs w:val="19"/>
      <w:u w:val="none"/>
    </w:rPr>
  </w:style>
  <w:style w:type="paragraph" w:customStyle="1" w:styleId="Style7">
    <w:name w:val="Подпись к картинке"/>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Заголовок №1"/>
    <w:basedOn w:val="Normal"/>
    <w:link w:val="CharStyle14"/>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5">
    <w:name w:val="Заголовок №2"/>
    <w:basedOn w:val="Normal"/>
    <w:link w:val="CharStyle16"/>
    <w:pPr>
      <w:widowControl w:val="0"/>
      <w:shd w:val="clear" w:color="auto" w:fill="auto"/>
      <w:spacing w:after="26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4">
    <w:name w:val="Основной текст (3)"/>
    <w:basedOn w:val="Normal"/>
    <w:link w:val="CharStyle25"/>
    <w:pPr>
      <w:widowControl w:val="0"/>
      <w:shd w:val="clear" w:color="auto" w:fill="auto"/>
      <w:spacing w:after="3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