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03195" distL="1174750" distR="1111250" simplePos="0" relativeHeight="125829378" behindDoc="0" locked="0" layoutInCell="1" allowOverlap="1">
            <wp:simplePos x="0" y="0"/>
            <wp:positionH relativeFrom="page">
              <wp:posOffset>1774825</wp:posOffset>
            </wp:positionH>
            <wp:positionV relativeFrom="paragraph">
              <wp:posOffset>12700</wp:posOffset>
            </wp:positionV>
            <wp:extent cx="53022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5950" distB="0" distL="114300" distR="114300" simplePos="0" relativeHeight="125829379" behindDoc="0" locked="0" layoutInCell="1" allowOverlap="1">
                <wp:simplePos x="0" y="0"/>
                <wp:positionH relativeFrom="page">
                  <wp:posOffset>714375</wp:posOffset>
                </wp:positionH>
                <wp:positionV relativeFrom="paragraph">
                  <wp:posOffset>628650</wp:posOffset>
                </wp:positionV>
                <wp:extent cx="2587625" cy="270065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7625" cy="27006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</w:t>
                              <w:br/>
                              <w:t>службы по Ханты-Мансийскому</w:t>
                              <w:br/>
                              <w:t>автономному округу - Югре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Мира, д. 27, Ханты-Мансийск, 628012</w:t>
                              <w:br/>
                              <w:t>телефон/факс +7 (3467) 38-80-81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320"/>
                              <w:jc w:val="left"/>
                            </w:pPr>
                            <w:r>
                              <w:rPr>
                                <w:i w:val="0"/>
                                <w:iCs w:val="0"/>
                                <w:color w:val="3D60B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е-таП: 1о86@Га8.§оу.ги, сайт 1Шр://11тао.Га8.§оу.ги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8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i w:val="0"/>
                                <w:iCs w:val="0"/>
                                <w:color w:val="3D60B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ИНН 8601009316 КПП 860101001 ОГРН 1028600512093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25pt;margin-top:49.5pt;width:203.75pt;height:212.65000000000001pt;z-index:-125829374;mso-wrap-distance-left:9.pt;mso-wrap-distance-top:48.5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</w:t>
                        <w:br/>
                        <w:t>службы по Ханты-Мансийскому</w:t>
                        <w:br/>
                        <w:t>автономному округу - Югре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Мира, д. 27, Ханты-Мансийск, 628012</w:t>
                        <w:br/>
                        <w:t>телефон/факс +7 (3467) 38-80-81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320"/>
                        <w:jc w:val="left"/>
                      </w:pPr>
                      <w:r>
                        <w:rPr>
                          <w:i w:val="0"/>
                          <w:iCs w:val="0"/>
                          <w:color w:val="3D60B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е-таП: 1о86@Га8.§оу.ги, сайт 1Шр://11тао.Га8.§оу.ги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88" w:lineRule="auto"/>
                        <w:ind w:left="0" w:right="0" w:firstLine="0"/>
                        <w:jc w:val="left"/>
                      </w:pPr>
                      <w:r>
                        <w:rPr>
                          <w:i w:val="0"/>
                          <w:iCs w:val="0"/>
                          <w:color w:val="3D60B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ИНН 8601009316 КПП 860101001 ОГРН 1028600512093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6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17500" distB="0" distL="114300" distR="114300" simplePos="0" relativeHeight="125829381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9262745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«НЭП - Фабрикант»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«ЭТС» 123112, Москва, Тестовская улица, 10, «Москва Сити», Северная башня, 1 подъезд, 25 этаж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Вершинин Василий Васильевич 624992, Свердловская область, Серов, Карпинского, 10, 2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Бюджетное учреждение ХМАО-Югры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«Дирекция по эксплуатации служебных зданий»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628001, ХМАО-Югра, г. Ханты-Мансийск, ул.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Анны Коньковой, д. 3, к. 1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086/06/31-1611/2023</w:t>
      </w:r>
      <w:bookmarkEnd w:id="6"/>
    </w:p>
    <w:p>
      <w:pPr>
        <w:pStyle w:val="Style9"/>
        <w:keepNext w:val="0"/>
        <w:keepLines w:val="0"/>
        <w:widowControl w:val="0"/>
        <w:shd w:val="clear" w:color="auto" w:fill="auto"/>
        <w:tabs>
          <w:tab w:pos="781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11.10.2023</w:t>
        <w:tab/>
        <w:t>г. Ханты-Мансийск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16.10.2023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Ханты-Мансийскому автономному округу - Югре (далее -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Валиуллин Р.Р. - Заместитель руководителя Управления;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Мацола А.А.- Старший специалист 1 разряда отдела Управления;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24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Петухова Ю.А.- Эксперт отдела Управления,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 Заявителя - посредством видеоконференц-связи отсутствовали, уведомлены надлежащим образом;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 Заказчика - посредством видеоконференц-связи Ващенко К.С. по доверенности №18/01- Исх-29 от 09.01.2023,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ИП Вершинин Василий Васильевич (ИНН: 663230267351; ОГРН: 323665800196517) от 09.10.2023 № 9849/23, на действия Заказчика - Бюджетное учреждение ХМАО-Югры «Дирекция по эксплуатации служебных зданий», при проведении открытого кон</w:t>
        <w:softHyphen/>
        <w:t>курса в электронной форме, предметом которого является выполнение работ по содержанию и уборке помещений, наружных ограждающих конструкций административных зданий и прилегаю</w:t>
        <w:softHyphen/>
        <w:t>щих территорий (извещение № 0387200017723000195) и в результате осуществления внеплановой проверки в соответствии с пунктом 1 части 15 статьи 99 Федерального закона от 05.04.2013 ^ 44- ФЗ "О контрактной системе в сфере закупок товаров, работ, услуг для обеспечения государствен</w:t>
        <w:softHyphen/>
        <w:t>ных и муниципальных нужд" (далее - Закон о контрактной системе),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8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Ханты-Мансийскому автономному округу - Югре поступила жалоба ИП Вершинин Василий Васильевич (ИНН: 663230267351; ОГРН: 323665800196517) от 09.10.2023 № 9849/23, на действия Заказчика - Бюджетное учреждение ХМАО-Югры «Дирекция по эксплуатации служебных зданий», при проведении открытого конкурса в электронной форме, предметом которого является выполнение работ по содержанию и уборке помещений, наружных ограждающих конструкций административных зданий и прилегающих территорий (извещение № 0387200017723000195).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доводе жалобы Заявитель указал следующее: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Заказчиком неправомерно установлено требование в соответствии с позицией 14 раздела II приложения к ПП РФ от 29.12.2021 № 2571.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доводов сторон, материалов дела, Комиссией Управления установлено следующее.</w:t>
      </w:r>
      <w:bookmarkEnd w:id="1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Относительно довода жалобы Комиссия Управления поясняет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части 4 статьи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Правительства РФ от 29.12.2021 № 2571 установлено, что положения указанного постановления применяются при проведении конкурентных способов определения поставщиков (подрядчиков, исполнителей), при этом 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извещению Заказчиком установлены дополнительные требования к участникам закупки в соответствии с позицией 14 Постановления №2571.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7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Позицией 9 Постановления №2571 установлено:</w:t>
      </w:r>
    </w:p>
    <w:tbl>
      <w:tblPr>
        <w:tblOverlap w:val="never"/>
        <w:jc w:val="center"/>
        <w:tblLayout w:type="fixed"/>
      </w:tblPr>
      <w:tblGrid>
        <w:gridCol w:w="1368"/>
        <w:gridCol w:w="5266"/>
        <w:gridCol w:w="3350"/>
      </w:tblGrid>
      <w:tr>
        <w:trPr>
          <w:trHeight w:val="210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Работы, услуги по техническом у обслуживани ю зданий, сооружений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опыта исполнения участником закупки договора, предусматривающего выполнение работ, оказание услуг по техническому обслуживанию зданий, сооружений.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Цена выполненных работ,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100" w:after="200" w:line="240" w:lineRule="auto"/>
              <w:ind w:left="0" w:right="0" w:firstLine="16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1) исполненный договор;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2) акт выполненных работ, оказанных услуг, подтверждающий цену выполненных работ, оказанных услуг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указывает, что Заказчик неправомерно установил дополнительные требования к участникам закупки в соответствии с позицией 14 Постановления №2571.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считает, что Заказчику необходимо установить дополнительные требования к участникам закупки в соответствии с позицией 36 Постановления №2571.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Позицией 36 Постановления №2571 установлено: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1368"/>
        <w:gridCol w:w="5266"/>
        <w:gridCol w:w="3350"/>
      </w:tblGrid>
      <w:tr>
        <w:trPr>
          <w:trHeight w:val="20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Услуги по уборке зданий, сооружений, прилегающи х к ним территорий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200" w:after="200" w:line="240" w:lineRule="auto"/>
              <w:ind w:left="0" w:right="0" w:firstLine="16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1) исполненный договор;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2) акт приемки оказанных услуг, подтверждающий цену оказанных услуг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извещению 0387200017723000195 объектом закупки является Выполнение работ по содержанию и уборке помещений, наружных ограждающих конструкций административных зданий и прилегающих территорий.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установлен ОКПД2 81.10.10.000 «Услуги по обслуживанию помещений комплексные».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Эта группировка включает в себя следующее: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— предоставление комплексных услуг по обслуживанию помещений клиента, таких как общая уборка, техническое обслуживание, вывоз мусора, обеспечение охраны и безопасности, доставка почты, услуги службы приема, услуги прачечных и т.д.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Техническому заданию Заказчиком установлены следующие требования к оказанию услуг: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Объемы работ включают в себя: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техническое обслуживание объекта в соответствии с нормативно-правовыми актами, действующими на территории Российской Федерации применительно к работам по договору;</w:t>
      </w:r>
    </w:p>
    <w:p>
      <w:pPr>
        <w:pStyle w:val="Style9"/>
        <w:keepNext w:val="0"/>
        <w:keepLines w:val="0"/>
        <w:widowControl w:val="0"/>
        <w:numPr>
          <w:ilvl w:val="2"/>
          <w:numId w:val="5"/>
        </w:numPr>
        <w:shd w:val="clear" w:color="auto" w:fill="auto"/>
        <w:tabs>
          <w:tab w:pos="1443" w:val="left"/>
        </w:tabs>
        <w:bidi w:val="0"/>
        <w:spacing w:before="0" w:after="30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Виды работ:</w:t>
      </w:r>
    </w:p>
    <w:tbl>
      <w:tblPr>
        <w:tblOverlap w:val="never"/>
        <w:jc w:val="center"/>
        <w:tblLayout w:type="fixed"/>
      </w:tblPr>
      <w:tblGrid>
        <w:gridCol w:w="682"/>
        <w:gridCol w:w="6178"/>
        <w:gridCol w:w="3067"/>
      </w:tblGrid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№ 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Наименование работ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Периодичность</w:t>
            </w:r>
          </w:p>
        </w:tc>
      </w:tr>
      <w:tr>
        <w:trPr>
          <w:trHeight w:val="240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Комплексная уборка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Уборка на внутренней территории объекта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Ежедневно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Чистка кровли и водосточных лотков от мусора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весна, осень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Уборка прилегающей территории, автостоянки.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Ежедневно</w:t>
            </w:r>
          </w:p>
        </w:tc>
      </w:tr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Сбор и вынос крупного мусора из здания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Ежедневно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5.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Очистка ковриков на входе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Ежедневно, 2 раза в день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6.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Поддерживающая уборка входных групп, коридоров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В течение рабочего дня</w:t>
            </w:r>
          </w:p>
        </w:tc>
      </w:tr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7.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Собирание снега с отмостки, тротуаров и прилегающей территории в кучи на территории объекта до приезда спец. техники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В зависимости от осадков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7.1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Посыпка дорожек на территории объекта, и тротуаров близлежащих к объекту противогололедной смесью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По мере необходимости, при гололедных явлениях</w:t>
            </w:r>
          </w:p>
        </w:tc>
      </w:tr>
      <w:tr>
        <w:trPr>
          <w:trHeight w:val="69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8.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Уборка внутренней и прилегающей территории: крылец центральных и запасных выходов, тротуаров, прилегающей территории от снега и льда в зимнее время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Ежедневно</w:t>
            </w:r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8.1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503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Зачистка кровли, пазух, водостоков, козырьков,</w:t>
              <w:tab/>
              <w:t>карнизных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свесов кровли, вентиляционных шахт, козырьков, поверхностей стен фасадов от снега, наледи, сосулек.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Регулярно: По мере выпадения снега, образования наледи, сосулек.</w:t>
            </w:r>
          </w:p>
        </w:tc>
      </w:tr>
      <w:tr>
        <w:trPr>
          <w:trHeight w:val="9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8.2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483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Своевременное восстановление покрытий кровли, крылец, водосточных лотков, поврежденных</w:t>
              <w:tab/>
              <w:t>при зачистке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ненадлежащим образом кровли, козырьков от снега, наледи, сосулек.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Апрель, май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закупаемая услуга не ограничена лишь уборкой территории, а сводится прежде всего к техническому обслуживанию и содержанию административных зданий, помещений и прилегающей территории.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Уборка зданий, сооружений, прилегающих к ним территорий по своей сути это комплекс действий, необходимый для обеспечения чистоты в помещениях, также на территории объектов.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вышеизложенного, объект закупки не может быть отнесен к услугам по уборке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зданий, сооружений, прилегающих к ним территорий, так как включает в себя выполнение работ по содержанию и уборке помещений, наружных ограждающих конструкций административных зданий и прилегающих территорий, включая очистку кровель. Очистка кровель является отдельным видом услуг, предполагающих не поддержание чистоты, а надлежащее содержание кровель, исключение накопления снега и образования наледи и сосулек.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этого, согласно п. 3.11 СП 255.1325800.2016. текущее обслуживание - это поддержание надлежащего технического состояния зданий (сооружений) в части параметров устойчивости, надежности, а также исправности строительных конструкций, систем инженерно</w:t>
        <w:softHyphen/>
        <w:t>технического обеспечения, сетей инженерно-технического обеспечения, их элементов в соответствии с требованиями технических регламентов, проектной документации.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9.2 СП 255.1325800.2016. в состав работ по текущему обслуживанию входит уборка снега, в том числе на кровле.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Управления приходит к выводу, что объект закупочной процедуры связан с текущим обслуживанием здания и не подпадает под условия применения п. 36 Постановления ^ 2571. Заказчику требуется выполнение работ по содержанию и уборке помещений, наружных ограждающих конструкций административных зданий и прилегающих территорий. Техническое задание включает в себя комплексное обслуживание здания и сооружений, что соответствует коду ОКПД2 81.10.10.000 «Услуги по обслуживанию помещений комплексные».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довод заявителя жалобы является необоснованным.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ИП Вершинин Василий Васильевич (ИНН: 663230267351; ОГРН: 323665800196517) от 09.10.2023 № 9849/23 рассмотрена Комиссией Управления в соответствии с требованиями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материалы дела, изучив представленные документы представителей сторон, руководствуясь положениями статей 99, 106 Закона о контрактной системе, Комиссия Управления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2"/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ИП Вершинин Василий Васильевич (ИНН: 663230267351; ОГРН: 323665800196517) от 09.10.2023 № 9849/23, на действия Заказчика - Бюджетное учреждение ХМАО-Югры «Дирекция по эксплуатации служебных зданий», при проведении открытого конкурса в электронной форме, предметом которого является выполнение работ по содержанию и уборке помещений, наружных ограждающих конструкций административных зданий и прилегающих территорий (извещение № 0387200017723000195) необоснованной.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6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не выдавать.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8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Направить данное решение сторонам и опубликовать на официальном сайте единой ин</w:t>
        <w:softHyphen/>
        <w:t>формационной системы в сфере закупок (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\\л\лу.хакирк1.цоу.Г11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527050" distL="114300" distR="114300" simplePos="0" relativeHeight="125829382" behindDoc="0" locked="0" layoutInCell="1" allowOverlap="1">
                <wp:simplePos x="0" y="0"/>
                <wp:positionH relativeFrom="page">
                  <wp:posOffset>6040755</wp:posOffset>
                </wp:positionH>
                <wp:positionV relativeFrom="paragraph">
                  <wp:posOffset>12700</wp:posOffset>
                </wp:positionV>
                <wp:extent cx="993775" cy="21653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377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Р.Р. Валиуллин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75.65000000000003pt;margin-top:1.pt;width:78.25pt;height:17.050000000000001pt;z-index:-125829371;mso-wrap-distance-left:9.pt;mso-wrap-distance-right:9.pt;mso-wrap-distance-bottom:41.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Р.Р. Валиуллин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524510" distB="0" distL="114300" distR="239395" simplePos="0" relativeHeight="125829384" behindDoc="0" locked="0" layoutInCell="1" allowOverlap="1">
                <wp:simplePos x="0" y="0"/>
                <wp:positionH relativeFrom="page">
                  <wp:posOffset>6040755</wp:posOffset>
                </wp:positionH>
                <wp:positionV relativeFrom="paragraph">
                  <wp:posOffset>537210</wp:posOffset>
                </wp:positionV>
                <wp:extent cx="868680" cy="21971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868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А.А. Мацола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75.65000000000003pt;margin-top:42.300000000000004pt;width:68.400000000000006pt;height:17.300000000000001pt;z-index:-125829369;mso-wrap-distance-left:9.pt;mso-wrap-distance-top:41.300000000000004pt;mso-wrap-distance-right:18.8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А.А. Мацола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28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Ю.А. Петухова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Решение, принятое по результатам рассмотрения жалобы по существу, может быть обжаловано в судебном порядке в течение трех месяцев с даты принятия</w:t>
      </w:r>
    </w:p>
    <w:sectPr>
      <w:footerReference w:type="default" r:id="rId9"/>
      <w:footerReference w:type="first" r:id="rId10"/>
      <w:footnotePr>
        <w:pos w:val="pageBottom"/>
        <w:numFmt w:val="decimal"/>
        <w:numRestart w:val="continuous"/>
      </w:footnotePr>
      <w:pgSz w:w="11900" w:h="16840"/>
      <w:pgMar w:top="941" w:right="539" w:bottom="1193" w:left="1104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9999345</wp:posOffset>
              </wp:positionV>
              <wp:extent cx="6489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2023-7926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50000000000001pt;margin-top:787.35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2023-7926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9999345</wp:posOffset>
              </wp:positionV>
              <wp:extent cx="6489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2023-7926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pt;margin-top:787.35000000000002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2023-7926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4"/>
      <w:numFmt w:val="decimal"/>
      <w:lvlText w:val="%1."/>
    </w:lvl>
    <w:lvl w:ilvl="1">
      <w:start w:val="1"/>
      <w:numFmt w:val="decimal"/>
      <w:lvlText w:val="%1.%2."/>
    </w:lvl>
    <w:lvl w:ilvl="2">
      <w:start w:val="1"/>
      <w:numFmt w:val="decimal"/>
      <w:lvlText w:val="%1.%2.%3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20"/>
      <w:szCs w:val="20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CharStyle8">
    <w:name w:val="Основной текст (4)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color w:val="3D60B1"/>
      <w:sz w:val="34"/>
      <w:szCs w:val="34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Подпись к таблиц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single"/>
    </w:rPr>
  </w:style>
  <w:style w:type="character" w:customStyle="1" w:styleId="CharStyle19">
    <w:name w:val="Друго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20"/>
      <w:szCs w:val="20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  <w:spacing w:after="260" w:line="264" w:lineRule="auto"/>
      <w:ind w:firstLine="53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auto"/>
      <w:spacing w:after="1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D60B1"/>
      <w:sz w:val="34"/>
      <w:szCs w:val="34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Подпись к таблице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single"/>
    </w:rPr>
  </w:style>
  <w:style w:type="paragraph" w:customStyle="1" w:styleId="Style18">
    <w:name w:val="Другое"/>
    <w:basedOn w:val="Normal"/>
    <w:link w:val="CharStyle1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