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42" w:h="1301" w:wrap="none" w:hAnchor="page" w:x="1453" w:y="1119"/>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framePr w:w="3542" w:h="1301" w:wrap="none" w:hAnchor="page" w:x="1453" w:y="1119"/>
        <w:widowControl w:val="0"/>
        <w:shd w:val="clear" w:color="auto" w:fill="auto"/>
        <w:bidi w:val="0"/>
        <w:spacing w:before="0" w:after="0" w:line="240"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framePr w:w="3216" w:h="1190" w:wrap="none" w:hAnchor="page" w:x="1491" w:y="2617"/>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r>
    </w:p>
    <w:p>
      <w:pPr>
        <w:pStyle w:val="Style2"/>
        <w:keepNext w:val="0"/>
        <w:keepLines w:val="0"/>
        <w:framePr w:w="3216" w:h="1190" w:wrap="none" w:hAnchor="page" w:x="1491" w:y="2617"/>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е-тай: (о61@Гав.§оу.ги</w:t>
      </w:r>
    </w:p>
    <w:p>
      <w:pPr>
        <w:pStyle w:val="Style8"/>
        <w:keepNext w:val="0"/>
        <w:keepLines w:val="0"/>
        <w:framePr w:w="3216" w:h="1190" w:wrap="none" w:hAnchor="page" w:x="1491" w:y="2617"/>
        <w:widowControl w:val="0"/>
        <w:shd w:val="clear" w:color="auto" w:fill="auto"/>
        <w:bidi w:val="0"/>
        <w:spacing w:before="0" w:after="0" w:line="240" w:lineRule="auto"/>
        <w:ind w:left="0" w:right="0" w:firstLine="280"/>
        <w:jc w:val="left"/>
      </w:pPr>
      <w:r>
        <w:rPr>
          <w:spacing w:val="0"/>
          <w:w w:val="100"/>
          <w:position w:val="0"/>
          <w:shd w:val="clear" w:color="auto" w:fill="auto"/>
          <w:lang w:val="ru-RU" w:eastAsia="ru-RU" w:bidi="ru-RU"/>
        </w:rPr>
        <w:t>штамп</w:t>
      </w:r>
    </w:p>
    <w:p>
      <w:pPr>
        <w:pStyle w:val="Style8"/>
        <w:keepNext w:val="0"/>
        <w:keepLines w:val="0"/>
        <w:framePr w:w="3216" w:h="1190" w:wrap="none" w:hAnchor="page" w:x="1491" w:y="2617"/>
        <w:widowControl w:val="0"/>
        <w:pBdr>
          <w:bottom w:val="single" w:sz="4" w:space="0" w:color="auto"/>
        </w:pBdr>
        <w:shd w:val="clear" w:color="auto" w:fill="auto"/>
        <w:bidi w:val="0"/>
        <w:spacing w:before="0" w:after="0" w:line="240" w:lineRule="auto"/>
        <w:ind w:left="0" w:right="0" w:firstLine="0"/>
        <w:jc w:val="left"/>
      </w:pP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r>
      <w:r>
        <w:fldChar w:fldCharType="end"/>
      </w:r>
    </w:p>
    <w:p>
      <w:pPr>
        <w:pStyle w:val="Style5"/>
        <w:keepNext w:val="0"/>
        <w:keepLines w:val="0"/>
        <w:framePr w:w="4061" w:h="245" w:wrap="none" w:hAnchor="page" w:x="1141" w:y="4119"/>
        <w:widowControl w:val="0"/>
        <w:shd w:val="clear" w:color="auto" w:fill="auto"/>
        <w:bidi w:val="0"/>
        <w:spacing w:before="0" w:after="0" w:line="240" w:lineRule="auto"/>
        <w:ind w:left="0" w:right="0" w:firstLine="0"/>
        <w:jc w:val="left"/>
        <w:rPr>
          <w:sz w:val="18"/>
          <w:szCs w:val="18"/>
        </w:rPr>
      </w:pPr>
      <w:r>
        <w:rPr>
          <w:color w:val="4460A3"/>
          <w:spacing w:val="0"/>
          <w:w w:val="100"/>
          <w:position w:val="0"/>
          <w:sz w:val="18"/>
          <w:szCs w:val="18"/>
          <w:shd w:val="clear" w:color="auto" w:fill="auto"/>
          <w:lang w:val="ru-RU" w:eastAsia="ru-RU" w:bidi="ru-RU"/>
        </w:rPr>
        <w:t xml:space="preserve">На №  от</w:t>
      </w:r>
    </w:p>
    <w:p>
      <w:pPr>
        <w:pStyle w:val="Style11"/>
        <w:keepNext w:val="0"/>
        <w:keepLines w:val="0"/>
        <w:framePr w:w="4934" w:h="4762" w:wrap="none" w:hAnchor="page" w:x="6406" w:y="87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Общество с ограниченной ответственностью «ДИОМИД»</w:t>
      </w:r>
    </w:p>
    <w:p>
      <w:pPr>
        <w:pStyle w:val="Style11"/>
        <w:keepNext w:val="0"/>
        <w:keepLines w:val="0"/>
        <w:framePr w:w="4934" w:h="4762" w:wrap="none" w:hAnchor="page" w:x="6406" w:y="87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Заявитель)</w:t>
      </w:r>
    </w:p>
    <w:p>
      <w:pPr>
        <w:pStyle w:val="Style11"/>
        <w:keepNext w:val="0"/>
        <w:keepLines w:val="0"/>
        <w:framePr w:w="4934" w:h="4762" w:wrap="none" w:hAnchor="page" w:x="6406" w:y="87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Темерницкая, зд. 41б, ком.5 В,</w:t>
      </w:r>
    </w:p>
    <w:p>
      <w:pPr>
        <w:pStyle w:val="Style11"/>
        <w:keepNext w:val="0"/>
        <w:keepLines w:val="0"/>
        <w:framePr w:w="4934" w:h="4762" w:wrap="none" w:hAnchor="page" w:x="6406" w:y="87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Ростов-на-Дону, 344002</w:t>
      </w:r>
    </w:p>
    <w:p>
      <w:pPr>
        <w:pStyle w:val="Style11"/>
        <w:keepNext w:val="0"/>
        <w:keepLines w:val="0"/>
        <w:framePr w:w="4934" w:h="4762" w:wrap="none" w:hAnchor="page" w:x="6406" w:y="87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ЕтаП:</w:t>
      </w:r>
      <w:r>
        <w:fldChar w:fldCharType="begin"/>
      </w:r>
      <w:r>
        <w:rPr/>
        <w:instrText> HYPERLINK "mailto:diomidrnd@mail.ru"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дютШгпд@,таП.ш</w:t>
      </w:r>
      <w:r>
        <w:fldChar w:fldCharType="end"/>
      </w:r>
    </w:p>
    <w:p>
      <w:pPr>
        <w:pStyle w:val="Style11"/>
        <w:keepNext w:val="0"/>
        <w:keepLines w:val="0"/>
        <w:framePr w:w="4934" w:h="4762" w:wrap="none" w:hAnchor="page" w:x="6406" w:y="87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Телефон: 8 (903) 473-50-18</w:t>
      </w:r>
    </w:p>
    <w:p>
      <w:pPr>
        <w:pStyle w:val="Style11"/>
        <w:keepNext w:val="0"/>
        <w:keepLines w:val="0"/>
        <w:framePr w:w="4934" w:h="4762" w:wrap="none" w:hAnchor="page" w:x="6406" w:y="87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Государственное бюджетное учреждение</w:t>
      </w:r>
    </w:p>
    <w:p>
      <w:pPr>
        <w:pStyle w:val="Style11"/>
        <w:keepNext w:val="0"/>
        <w:keepLines w:val="0"/>
        <w:framePr w:w="4934" w:h="4762" w:wrap="none" w:hAnchor="page" w:x="6406" w:y="87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Ростовской области "Центральная районная больница" в Каменском районе</w:t>
      </w:r>
    </w:p>
    <w:p>
      <w:pPr>
        <w:pStyle w:val="Style11"/>
        <w:keepNext w:val="0"/>
        <w:keepLines w:val="0"/>
        <w:framePr w:w="4934" w:h="4762" w:wrap="none" w:hAnchor="page" w:x="6406" w:y="87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Заказчик)</w:t>
      </w:r>
    </w:p>
    <w:p>
      <w:pPr>
        <w:pStyle w:val="Style11"/>
        <w:keepNext w:val="0"/>
        <w:keepLines w:val="0"/>
        <w:framePr w:w="4934" w:h="4762" w:wrap="none" w:hAnchor="page" w:x="6406" w:y="87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Юбилейная, д.4/ пер. Семашко/к.51,</w:t>
      </w:r>
    </w:p>
    <w:p>
      <w:pPr>
        <w:pStyle w:val="Style11"/>
        <w:keepNext w:val="0"/>
        <w:keepLines w:val="0"/>
        <w:framePr w:w="4934" w:h="4762" w:wrap="none" w:hAnchor="page" w:x="6406" w:y="87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рп Глубокий, Каменский р-н,</w:t>
      </w:r>
    </w:p>
    <w:p>
      <w:pPr>
        <w:pStyle w:val="Style11"/>
        <w:keepNext w:val="0"/>
        <w:keepLines w:val="0"/>
        <w:framePr w:w="4934" w:h="4762" w:wrap="none" w:hAnchor="page" w:x="6406" w:y="87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Ростовская обл., 347850</w:t>
      </w:r>
    </w:p>
    <w:p>
      <w:pPr>
        <w:pStyle w:val="Style11"/>
        <w:keepNext w:val="0"/>
        <w:keepLines w:val="0"/>
        <w:framePr w:w="4934" w:h="4762" w:wrap="none" w:hAnchor="page" w:x="6406" w:y="87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ЕтаП:</w:t>
      </w:r>
      <w:r>
        <w:fldChar w:fldCharType="begin"/>
      </w:r>
      <w:r>
        <w:rPr/>
        <w:instrText> HYPERLINK "mailto:crbkamensk@yandex.ru"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сгЬкатеп8к@,уапдех.ш</w:t>
      </w:r>
      <w:r>
        <w:fldChar w:fldCharType="end"/>
      </w:r>
    </w:p>
    <w:p>
      <w:pPr>
        <w:pStyle w:val="Style11"/>
        <w:keepNext w:val="0"/>
        <w:keepLines w:val="0"/>
        <w:framePr w:w="4934" w:h="4762" w:wrap="none" w:hAnchor="page" w:x="6406" w:y="87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Телефон: 8 (863) 659-55-56</w:t>
      </w:r>
    </w:p>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9753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7535"/>
                    </a:xfrm>
                    <a:prstGeom prst="rect"/>
                  </pic:spPr>
                </pic:pic>
              </a:graphicData>
            </a:graphic>
          </wp:anchor>
        </w:drawing>
      </w:r>
      <w:r>
        <w:drawing>
          <wp:anchor distT="0" distB="0" distL="0" distR="0" simplePos="0" relativeHeight="62914691" behindDoc="1" locked="0" layoutInCell="1" allowOverlap="1">
            <wp:simplePos x="0" y="0"/>
            <wp:positionH relativeFrom="page">
              <wp:posOffset>727075</wp:posOffset>
            </wp:positionH>
            <wp:positionV relativeFrom="margin">
              <wp:posOffset>3078480</wp:posOffset>
            </wp:positionV>
            <wp:extent cx="182880" cy="17081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182880" cy="17081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89" w:line="1" w:lineRule="exact"/>
      </w:pPr>
    </w:p>
    <w:p>
      <w:pPr>
        <w:widowControl w:val="0"/>
        <w:spacing w:line="1" w:lineRule="exact"/>
        <w:sectPr>
          <w:footerReference w:type="default" r:id="rId9"/>
          <w:footerReference w:type="first" r:id="rId10"/>
          <w:footnotePr>
            <w:pos w:val="pageBottom"/>
            <w:numFmt w:val="decimal"/>
            <w:numRestart w:val="continuous"/>
          </w:footnotePr>
          <w:pgSz w:w="11900" w:h="16840"/>
          <w:pgMar w:top="294" w:right="493" w:bottom="1216" w:left="986" w:header="0" w:footer="3" w:gutter="0"/>
          <w:pgNumType w:start="1"/>
          <w:cols w:space="720"/>
          <w:noEndnote/>
          <w:titlePg/>
          <w:rtlGutter w:val="0"/>
          <w:docGrid w:linePitch="360"/>
        </w:sectPr>
      </w:pPr>
    </w:p>
    <w:p>
      <w:pPr>
        <w:pStyle w:val="Style18"/>
        <w:keepNext/>
        <w:keepLines/>
        <w:widowControl w:val="0"/>
        <w:shd w:val="clear" w:color="auto" w:fill="auto"/>
        <w:bidi w:val="0"/>
        <w:spacing w:before="0" w:after="0" w:line="240" w:lineRule="auto"/>
        <w:ind w:left="5440" w:right="0" w:firstLine="0"/>
        <w:jc w:val="left"/>
      </w:pPr>
      <w:bookmarkStart w:id="0" w:name="bookmark0"/>
      <w:r>
        <w:rPr>
          <w:color w:val="000000"/>
          <w:spacing w:val="0"/>
          <w:w w:val="100"/>
          <w:position w:val="0"/>
          <w:sz w:val="24"/>
          <w:szCs w:val="24"/>
          <w:shd w:val="clear" w:color="auto" w:fill="auto"/>
          <w:lang w:val="ru-RU" w:eastAsia="ru-RU" w:bidi="ru-RU"/>
        </w:rPr>
        <w:t>ООО «РТС-тендер» (далее - Оператор электронной площадки)</w:t>
      </w:r>
      <w:bookmarkEnd w:id="0"/>
    </w:p>
    <w:p>
      <w:pPr>
        <w:pStyle w:val="Style11"/>
        <w:keepNext w:val="0"/>
        <w:keepLines w:val="0"/>
        <w:widowControl w:val="0"/>
        <w:shd w:val="clear" w:color="auto" w:fill="auto"/>
        <w:bidi w:val="0"/>
        <w:spacing w:before="0" w:after="1120" w:line="240" w:lineRule="auto"/>
        <w:ind w:left="5440" w:right="0" w:firstLine="0"/>
        <w:jc w:val="left"/>
      </w:pPr>
      <w:r>
        <w:rPr>
          <w:color w:val="000000"/>
          <w:spacing w:val="0"/>
          <w:w w:val="100"/>
          <w:position w:val="0"/>
          <w:sz w:val="24"/>
          <w:szCs w:val="24"/>
          <w:shd w:val="clear" w:color="auto" w:fill="auto"/>
          <w:lang w:val="ru-RU" w:eastAsia="ru-RU" w:bidi="ru-RU"/>
        </w:rPr>
        <w:t>ЕтаП:</w:t>
      </w:r>
      <w:r>
        <w:fldChar w:fldCharType="begin"/>
      </w:r>
      <w:r>
        <w:rPr/>
        <w:instrText> HYPERLINK "mailto:ko@rts-tender.ru"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ко@г18-1епдег.ги</w:t>
      </w:r>
      <w:r>
        <w:fldChar w:fldCharType="end"/>
      </w:r>
    </w:p>
    <w:p>
      <w:pPr>
        <w:pStyle w:val="Style11"/>
        <w:keepNext w:val="0"/>
        <w:keepLines w:val="0"/>
        <w:widowControl w:val="0"/>
        <w:shd w:val="clear" w:color="auto" w:fill="auto"/>
        <w:bidi w:val="0"/>
        <w:spacing w:before="0" w:after="220" w:line="240" w:lineRule="auto"/>
        <w:ind w:left="0" w:right="0" w:firstLine="0"/>
        <w:jc w:val="center"/>
      </w:pPr>
      <w:r>
        <w:rPr>
          <w:b/>
          <w:bCs/>
          <w:color w:val="000000"/>
          <w:spacing w:val="0"/>
          <w:w w:val="100"/>
          <w:position w:val="0"/>
          <w:sz w:val="24"/>
          <w:szCs w:val="24"/>
          <w:shd w:val="clear" w:color="auto" w:fill="auto"/>
          <w:lang w:val="ru-RU" w:eastAsia="ru-RU" w:bidi="ru-RU"/>
        </w:rPr>
        <w:t>РЕШЕНИЕ</w:t>
        <w:br/>
        <w:t>по результатам рассмотрения дела</w:t>
        <w:br/>
        <w:t>№061/06/42-3268/2023</w:t>
      </w:r>
    </w:p>
    <w:p>
      <w:pPr>
        <w:pStyle w:val="Style11"/>
        <w:keepNext w:val="0"/>
        <w:keepLines w:val="0"/>
        <w:widowControl w:val="0"/>
        <w:shd w:val="clear" w:color="auto" w:fill="auto"/>
        <w:tabs>
          <w:tab w:pos="8536" w:val="left"/>
        </w:tabs>
        <w:bidi w:val="0"/>
        <w:spacing w:before="0" w:after="220" w:line="240" w:lineRule="auto"/>
        <w:ind w:left="0" w:right="0" w:firstLine="140"/>
        <w:jc w:val="both"/>
      </w:pPr>
      <w:r>
        <w:rPr>
          <w:color w:val="000000"/>
          <w:spacing w:val="0"/>
          <w:w w:val="100"/>
          <w:position w:val="0"/>
          <w:sz w:val="24"/>
          <w:szCs w:val="24"/>
          <w:shd w:val="clear" w:color="auto" w:fill="auto"/>
          <w:lang w:val="ru-RU" w:eastAsia="ru-RU" w:bidi="ru-RU"/>
        </w:rPr>
        <w:t>07.09.2023</w:t>
        <w:tab/>
        <w:t>г. Ростов-на-Дону</w:t>
      </w:r>
    </w:p>
    <w:p>
      <w:pPr>
        <w:pStyle w:val="Style11"/>
        <w:keepNext w:val="0"/>
        <w:keepLines w:val="0"/>
        <w:widowControl w:val="0"/>
        <w:shd w:val="clear" w:color="auto" w:fill="auto"/>
        <w:bidi w:val="0"/>
        <w:spacing w:before="0" w:after="0" w:line="240" w:lineRule="auto"/>
        <w:ind w:left="140" w:right="0" w:firstLine="70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1"/>
        <w:keepNext w:val="0"/>
        <w:keepLines w:val="0"/>
        <w:widowControl w:val="0"/>
        <w:shd w:val="clear" w:color="auto" w:fill="auto"/>
        <w:tabs>
          <w:tab w:pos="8536"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М.А. Благодарев,</w:t>
      </w:r>
    </w:p>
    <w:p>
      <w:pPr>
        <w:pStyle w:val="Style11"/>
        <w:keepNext w:val="0"/>
        <w:keepLines w:val="0"/>
        <w:widowControl w:val="0"/>
        <w:shd w:val="clear" w:color="auto" w:fill="auto"/>
        <w:tabs>
          <w:tab w:pos="8536"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А.А. Михарская,</w:t>
      </w:r>
    </w:p>
    <w:p>
      <w:pPr>
        <w:pStyle w:val="Style11"/>
        <w:keepNext w:val="0"/>
        <w:keepLines w:val="0"/>
        <w:widowControl w:val="0"/>
        <w:shd w:val="clear" w:color="auto" w:fill="auto"/>
        <w:bidi w:val="0"/>
        <w:spacing w:before="0" w:after="220" w:line="240" w:lineRule="auto"/>
        <w:ind w:left="140" w:right="0" w:firstLine="8700"/>
        <w:jc w:val="both"/>
      </w:pPr>
      <w:r>
        <w:rPr>
          <w:color w:val="000000"/>
          <w:spacing w:val="0"/>
          <w:w w:val="100"/>
          <w:position w:val="0"/>
          <w:sz w:val="24"/>
          <w:szCs w:val="24"/>
          <w:shd w:val="clear" w:color="auto" w:fill="auto"/>
          <w:lang w:val="ru-RU" w:eastAsia="ru-RU" w:bidi="ru-RU"/>
        </w:rPr>
        <w:t>С.В. Панченко, рассмотрев дело №061/06/42-3268/2023 по жалобе Заявителя о нарушении Заказчиком при проведении электронного аукциона №0358300010423000019 «Автоматический анализатор газов крови»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представителя Заявителя - Медведева М.А. (доверенность от 06.09.2023), представителя Заказчика - Захарова К.И. (доверенность от 06.09.2023),</w:t>
      </w:r>
    </w:p>
    <w:p>
      <w:pPr>
        <w:pStyle w:val="Style18"/>
        <w:keepNext/>
        <w:keepLines/>
        <w:widowControl w:val="0"/>
        <w:shd w:val="clear" w:color="auto" w:fill="auto"/>
        <w:bidi w:val="0"/>
        <w:spacing w:before="0" w:after="220" w:line="240" w:lineRule="auto"/>
        <w:ind w:left="0" w:right="0" w:firstLine="0"/>
        <w:jc w:val="center"/>
      </w:pPr>
      <w:bookmarkStart w:id="2" w:name="bookmark2"/>
      <w:r>
        <w:rPr>
          <w:color w:val="000000"/>
          <w:spacing w:val="0"/>
          <w:w w:val="100"/>
          <w:position w:val="0"/>
          <w:sz w:val="24"/>
          <w:szCs w:val="24"/>
          <w:shd w:val="clear" w:color="auto" w:fill="auto"/>
          <w:lang w:val="ru-RU" w:eastAsia="ru-RU" w:bidi="ru-RU"/>
        </w:rPr>
        <w:t>УСТАНОВИЛА:</w:t>
      </w:r>
      <w:bookmarkEnd w:id="2"/>
    </w:p>
    <w:p>
      <w:pPr>
        <w:pStyle w:val="Style11"/>
        <w:keepNext w:val="0"/>
        <w:keepLines w:val="0"/>
        <w:widowControl w:val="0"/>
        <w:shd w:val="clear" w:color="auto" w:fill="auto"/>
        <w:bidi w:val="0"/>
        <w:spacing w:before="0" w:after="0" w:line="240" w:lineRule="auto"/>
        <w:ind w:left="140" w:right="0" w:firstLine="700"/>
        <w:jc w:val="both"/>
      </w:pPr>
      <w:r>
        <w:rPr>
          <w:color w:val="000000"/>
          <w:spacing w:val="0"/>
          <w:w w:val="100"/>
          <w:position w:val="0"/>
          <w:sz w:val="24"/>
          <w:szCs w:val="24"/>
          <w:shd w:val="clear" w:color="auto" w:fill="auto"/>
          <w:lang w:val="ru-RU" w:eastAsia="ru-RU" w:bidi="ru-RU"/>
        </w:rPr>
        <w:t xml:space="preserve">В Ростовское УФАС России поступила жалоба ООО «ДИОМИД» на действия ГБУ РО «Центральная районная больница» в Каменском районе при разработке извещения к электронному </w:t>
      </w:r>
      <w:r>
        <w:rPr>
          <w:color w:val="000000"/>
          <w:spacing w:val="0"/>
          <w:w w:val="100"/>
          <w:position w:val="0"/>
          <w:sz w:val="24"/>
          <w:szCs w:val="24"/>
          <w:shd w:val="clear" w:color="auto" w:fill="auto"/>
          <w:lang w:val="ru-RU" w:eastAsia="ru-RU" w:bidi="ru-RU"/>
        </w:rPr>
        <w:t>аукциону.</w:t>
      </w:r>
    </w:p>
    <w:p>
      <w:pPr>
        <w:widowControl w:val="0"/>
        <w:spacing w:line="1" w:lineRule="exact"/>
      </w:pPr>
      <w:r>
        <w:drawing>
          <wp:anchor distT="12700" distB="0" distL="0" distR="0" simplePos="0" relativeHeight="125829378" behindDoc="0" locked="0" layoutInCell="1" allowOverlap="1">
            <wp:simplePos x="0" y="0"/>
            <wp:positionH relativeFrom="page">
              <wp:posOffset>717550</wp:posOffset>
            </wp:positionH>
            <wp:positionV relativeFrom="paragraph">
              <wp:posOffset>12700</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1517650" cy="292735"/>
                    </a:xfrm>
                    <a:prstGeom prst="rect"/>
                  </pic:spPr>
                </pic:pic>
              </a:graphicData>
            </a:graphic>
          </wp:anchor>
        </w:drawing>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11"/>
        <w:keepNext w:val="0"/>
        <w:keepLines w:val="0"/>
        <w:widowControl w:val="0"/>
        <w:numPr>
          <w:ilvl w:val="0"/>
          <w:numId w:val="1"/>
        </w:numPr>
        <w:shd w:val="clear" w:color="auto" w:fill="auto"/>
        <w:tabs>
          <w:tab w:pos="95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отрицал нарушения Закона в действиях Заказчика;</w:t>
      </w:r>
    </w:p>
    <w:p>
      <w:pPr>
        <w:pStyle w:val="Style11"/>
        <w:keepNext w:val="0"/>
        <w:keepLines w:val="0"/>
        <w:widowControl w:val="0"/>
        <w:numPr>
          <w:ilvl w:val="0"/>
          <w:numId w:val="1"/>
        </w:numPr>
        <w:shd w:val="clear" w:color="auto" w:fill="auto"/>
        <w:tabs>
          <w:tab w:pos="95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представил пояснения по доводам жалобы.</w:t>
      </w:r>
    </w:p>
    <w:p>
      <w:pPr>
        <w:pStyle w:val="Style11"/>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«Извещению о проведении аукциона в электронной форме» №0358300010423000019 от 28.08.2023 (далее - Извещение):</w:t>
      </w:r>
    </w:p>
    <w:p>
      <w:pPr>
        <w:pStyle w:val="Style11"/>
        <w:keepNext w:val="0"/>
        <w:keepLines w:val="0"/>
        <w:widowControl w:val="0"/>
        <w:numPr>
          <w:ilvl w:val="0"/>
          <w:numId w:val="1"/>
        </w:numPr>
        <w:shd w:val="clear" w:color="auto" w:fill="auto"/>
        <w:tabs>
          <w:tab w:pos="95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- 01.09.2023 09:00 (МСК);</w:t>
      </w:r>
    </w:p>
    <w:p>
      <w:pPr>
        <w:pStyle w:val="Style11"/>
        <w:keepNext w:val="0"/>
        <w:keepLines w:val="0"/>
        <w:widowControl w:val="0"/>
        <w:numPr>
          <w:ilvl w:val="0"/>
          <w:numId w:val="1"/>
        </w:numPr>
        <w:shd w:val="clear" w:color="auto" w:fill="auto"/>
        <w:tabs>
          <w:tab w:pos="95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1 731 166,67 руб.</w:t>
      </w:r>
    </w:p>
    <w:p>
      <w:pPr>
        <w:pStyle w:val="Style11"/>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Данная закупка проводится в рамках реализации национального проекта «Здравоохранение».</w:t>
      </w:r>
    </w:p>
    <w:p>
      <w:pPr>
        <w:pStyle w:val="Style11"/>
        <w:keepNext w:val="0"/>
        <w:keepLines w:val="0"/>
        <w:widowControl w:val="0"/>
        <w:numPr>
          <w:ilvl w:val="0"/>
          <w:numId w:val="3"/>
        </w:numPr>
        <w:shd w:val="clear" w:color="auto" w:fill="auto"/>
        <w:tabs>
          <w:tab w:pos="115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доводу жалобы Заявителя, установленные Заказчиком технические характеристики требуемого к поставке товара, соответствуют только одному производителю товара: Анализатор газов крови, электролитов, метаболитов и гемоглобина Е8СИ^Е!ЕЕК. МООЕЕАЕ рго производства «ЭШВАЙЛЕР ГмбХ и Кр. КГ», Германия (РУ № РЗН 2019/8271 от 07.08.2020).</w:t>
      </w:r>
    </w:p>
    <w:p>
      <w:pPr>
        <w:pStyle w:val="Style11"/>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В соответствии с ч.2 ст.8 Закона,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совокупного толкования п.1,2 ч.1, ч.2 ст.33, ч.2 ст.42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объекта закупки - это фиксация заказчиком в документации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 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Комиссией Ростовского УФАС России установлено, что Заказчиком описание объекта закупки сформировано таким образом, что его требованиям удовлетворят товар только одного производителя, а именно: Анализатор газов крови, электролитов, метаболитов и гемоглобина ЕАС11\УЕ1ЕЕ1&lt; МООЕЕАЕ рго производства «ЭШВАЙЛЕР ГмбХ и Кр. КГ», Германия (РУ № РЗН 2019/8271 от 07.08.2020).</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Вместе с тем, Заказчиком не представлена информация о наименовании (модели), как минимум 2 товаров различных производителей, отвечающих требованиям подготовленного описания объекта закупки.</w:t>
      </w:r>
    </w:p>
    <w:p>
      <w:pPr>
        <w:pStyle w:val="Style11"/>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изложенного, действия Заказчика нарушают ч.2 ст.42 Закона. Довод жалобы признан обоснованным.</w:t>
      </w:r>
    </w:p>
    <w:p>
      <w:pPr>
        <w:pStyle w:val="Style11"/>
        <w:keepNext w:val="0"/>
        <w:keepLines w:val="0"/>
        <w:widowControl w:val="0"/>
        <w:numPr>
          <w:ilvl w:val="0"/>
          <w:numId w:val="3"/>
        </w:numPr>
        <w:shd w:val="clear" w:color="auto" w:fill="auto"/>
        <w:tabs>
          <w:tab w:pos="1152"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Согласно доводу жалобы Заявителя, Заказчиком в проекте контракта установлено неисполнимое требование к документам, подтверждающим качество оборудования.</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силу п.5 ч.2 ст.42 Закона, извещение об осуществлении закупки, если иное не предусмотрено настоящим Федеральным законом, должно содержать проект контракта.</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Как определено нормой ч.11 ст.34 Закона, Правительство Российской Федерации вправе установить типовые условия контрактов, подлежащие применению заказчиками при осуществлении закупок.</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соответствии с ч.12 ст.8 Федерального закона от 02.07.2021 №360-ФЗ «О внесении изменений в отдельные законодательные акты Российской Федерации» условия типовых контрактов и типовые условия контрактов, утвержденные до дня вступления в силу настоящего Федерального закона, применяются в части, не противоречащей Федеральному закону от 5 апреля 2013 года №44-ФЗ «О контрактной системе в сфере закупок товаров, работ, услуг для обеспечения государственных и муниципальных нужд» (в редакции настоящего Федерального закона), до утверждения Правительством Российской Федерации в соответствии с частью 11 статьи 34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(в редакции настоящего Федерального закона) типовых условий контрактов.</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Приказом Минздрава России от 15.10.2015 №724н утвержден типовой контракт 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(далее - типовой контракт).</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силу п.п.7) п.6.1 типового контракта, приемка поставленного оборудования осуществляется в ходе передачи оборудования заказчику (получателю) в месте доставки и включает в себя проверку наличия необходимых документов (копий документов) на оборудование: регистрационных удостоверений, документа, подтверждающего соответствие &lt;25&gt; оборудования, выданного уполномоченными органами (организациями).</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соответствии с примечанием &lt;25&gt; к указанному пункту типового контракта, данное условие указывается в соответствии с постановлением Правительства Российской Федерации от 01.12.2009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Постановление Правительства РФ от 01.12.2009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утратило силу с 01.09.2022 в связи с изданием Постановления Правительства РФ от 23.12.2021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№2467 и признании утратившими силу некоторых актов Правительства Российской Федерации». Данными постановлениями утверждены единые перечни продукции, подлежащей обязательной сертификации, при этом ни один из перечней не содержит требований о сертификации товара, являющегося предметом рассматриваемой закупки.</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Приложением к извещению о проведении аукциона «Проект контракта» определено следующее положение:</w:t>
      </w:r>
    </w:p>
    <w:p>
      <w:pPr>
        <w:pStyle w:val="Style11"/>
        <w:keepNext w:val="0"/>
        <w:keepLines w:val="0"/>
        <w:widowControl w:val="0"/>
        <w:shd w:val="clear" w:color="auto" w:fill="auto"/>
        <w:bidi w:val="0"/>
        <w:spacing w:before="0" w:after="240" w:line="240" w:lineRule="auto"/>
        <w:ind w:left="0" w:right="0" w:firstLine="760"/>
        <w:jc w:val="both"/>
      </w:pPr>
      <w:r>
        <w:rPr>
          <w:i/>
          <w:iCs/>
          <w:color w:val="000000"/>
          <w:spacing w:val="0"/>
          <w:w w:val="100"/>
          <w:position w:val="0"/>
          <w:sz w:val="24"/>
          <w:szCs w:val="24"/>
          <w:shd w:val="clear" w:color="auto" w:fill="auto"/>
          <w:lang w:val="ru-RU" w:eastAsia="ru-RU" w:bidi="ru-RU"/>
        </w:rPr>
        <w:t>«5.3. При поставке Оборудования Поставщик представляет следующую документацию:</w:t>
      </w:r>
    </w:p>
    <w:p>
      <w:pPr>
        <w:pStyle w:val="Style11"/>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ж) копию документа, подтверждающего соответствие Оборудования, выданного уполномоченными органами (организациями) (сертификат соответствия (или декларация), оформленный в соответствии с законодательством Российской Федерации)».</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Медицинское изделие, являющееся объектом закупки, не входит в перечень Постановления Правительства РФ от 23.12.2021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№2467 и признании утратившими силу некоторых актов </w:t>
      </w:r>
      <w:r>
        <w:rPr>
          <w:color w:val="000000"/>
          <w:spacing w:val="0"/>
          <w:w w:val="100"/>
          <w:position w:val="0"/>
          <w:sz w:val="24"/>
          <w:szCs w:val="24"/>
          <w:shd w:val="clear" w:color="auto" w:fill="auto"/>
          <w:lang w:val="ru-RU" w:eastAsia="ru-RU" w:bidi="ru-RU"/>
        </w:rPr>
        <w:t>Правительства Российской Федерации». Следовательно, представить документ, подтверждающий соответствие оборудования, выданный уполномоченными органами (организациями) при исполнении контракта, не представится возможным для победителя аукциона.</w:t>
      </w:r>
    </w:p>
    <w:p>
      <w:pPr>
        <w:pStyle w:val="Style11"/>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При таких обстоятельствах, Комиссия пришла к выводу о нарушении Заказчиком ч.2 ст.42 Закона. Довод жалобы признан обоснованным.</w:t>
      </w:r>
    </w:p>
    <w:p>
      <w:pPr>
        <w:pStyle w:val="Style11"/>
        <w:keepNext w:val="0"/>
        <w:keepLines w:val="0"/>
        <w:widowControl w:val="0"/>
        <w:numPr>
          <w:ilvl w:val="0"/>
          <w:numId w:val="3"/>
        </w:numPr>
        <w:shd w:val="clear" w:color="auto" w:fill="auto"/>
        <w:tabs>
          <w:tab w:pos="115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рамках проведения в соответствии с ч.15 ст.99 Закона внеплановой проверки Комиссией Ростовского УФАС России установлено следующее.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Заказчиком в Извещении ненадлежащим образом применены положения Приказа Министерства финансов Российской Федерации от 04.06.2018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№126н).</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ч.4 ст.14 Закона,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Согласно п.1.1 Приказа №126н, при проведении конкурса, аукциона, запроса котировок в электронной форме преимущества в отношении цены контракта в размере 15 процентов в отношении товаров, указанных в приложении ^ 1, </w:t>
      </w:r>
      <w:r>
        <w:rPr>
          <w:color w:val="000000"/>
          <w:spacing w:val="0"/>
          <w:w w:val="100"/>
          <w:position w:val="0"/>
          <w:sz w:val="24"/>
          <w:szCs w:val="24"/>
          <w:u w:val="single"/>
          <w:shd w:val="clear" w:color="auto" w:fill="auto"/>
          <w:lang w:val="ru-RU" w:eastAsia="ru-RU" w:bidi="ru-RU"/>
        </w:rPr>
        <w:t>в размере 20 процентов в отношении товаров, указанных в приложении ^ 2 и закупаемых при реализации национальных проектов (программ</w:t>
      </w:r>
      <w:r>
        <w:rPr>
          <w:color w:val="000000"/>
          <w:spacing w:val="0"/>
          <w:w w:val="100"/>
          <w:position w:val="0"/>
          <w:sz w:val="24"/>
          <w:szCs w:val="24"/>
          <w:shd w:val="clear" w:color="auto" w:fill="auto"/>
          <w:lang w:val="ru-RU" w:eastAsia="ru-RU" w:bidi="ru-RU"/>
        </w:rPr>
        <w:t>), в соответствии с подпунктами 1.2 и 1.3 пункта 1 настоящего приказа предоставляются участникам закупки, заявки которых признаны соответствующими требованиям извещения об осуществлении закупки, документации о закупке (в случае, если Федеральным законом предусмотрена документация о закупке) и содержат исключительно предложения о поставке товаров, происходящих из государств - членов Евразийского экономического союза.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Как определено описанием объекта закупки, приобретаемым Заказчиком товаром является анализатор биохимический метаболического профиля ИВД, стационарный, автоматический с кодом КТРУ 26.60.12.119-00000177. Данное медицинское оборудование входит в приложение №1 и приложение №2 Приказа ^ 126н.</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извещении о проведении закупки установлено: «Участникам, заявки или окончательные предложения которых содержат предложения о поставке товаров в соответствии с приказом Минфина России от 04.06.2018 № 126н - 15.0%».</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этом, как установлено Извещением, финансирование закупки осуществляется за счет средств, выделенных в рамках реализации национальных проектов.</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Кроме того, установленный код КБК 01Ш953653, согласно приложению №2 к Приказу Минфина России от 24.05.2022 №82н «О порядке формирования и применения кодов бюджетной классификации Российской Федерации, их структуре и принципах назначения», свидетельствует о том, что данная закупка осуществляется в рамках реализации национального проекта «Здравоохранение».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 учетом изложенного, при определении преимуществ согласно Приказу №126н в размере 15%, Заказчик нарушил ч.4 ст.14 Закона.</w:t>
      </w:r>
    </w:p>
    <w:p>
      <w:pPr>
        <w:pStyle w:val="Style11"/>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 728, в соответствии с ч.15 ст.99, ч.8 ст.106 Закона,</w:t>
      </w:r>
    </w:p>
    <w:p>
      <w:pPr>
        <w:pStyle w:val="Style18"/>
        <w:keepNext/>
        <w:keepLines/>
        <w:widowControl w:val="0"/>
        <w:shd w:val="clear" w:color="auto" w:fill="auto"/>
        <w:bidi w:val="0"/>
        <w:spacing w:before="0" w:after="240" w:line="240" w:lineRule="auto"/>
        <w:ind w:left="0" w:right="0" w:firstLine="0"/>
        <w:jc w:val="center"/>
      </w:pPr>
      <w:bookmarkStart w:id="4" w:name="bookmark4"/>
      <w:r>
        <w:rPr>
          <w:color w:val="000000"/>
          <w:spacing w:val="0"/>
          <w:w w:val="100"/>
          <w:position w:val="0"/>
          <w:sz w:val="24"/>
          <w:szCs w:val="24"/>
          <w:shd w:val="clear" w:color="auto" w:fill="auto"/>
          <w:lang w:val="ru-RU" w:eastAsia="ru-RU" w:bidi="ru-RU"/>
        </w:rPr>
        <w:t>РЕШИЛА:</w:t>
      </w:r>
      <w:bookmarkEnd w:id="4"/>
    </w:p>
    <w:p>
      <w:pPr>
        <w:pStyle w:val="Style11"/>
        <w:keepNext w:val="0"/>
        <w:keepLines w:val="0"/>
        <w:widowControl w:val="0"/>
        <w:numPr>
          <w:ilvl w:val="0"/>
          <w:numId w:val="5"/>
        </w:numPr>
        <w:shd w:val="clear" w:color="auto" w:fill="auto"/>
        <w:tabs>
          <w:tab w:pos="102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Признать жалобу ООО «ДИОМИД» обоснованной.</w:t>
      </w:r>
    </w:p>
    <w:p>
      <w:pPr>
        <w:pStyle w:val="Style11"/>
        <w:keepNext w:val="0"/>
        <w:keepLines w:val="0"/>
        <w:widowControl w:val="0"/>
        <w:numPr>
          <w:ilvl w:val="0"/>
          <w:numId w:val="5"/>
        </w:numPr>
        <w:shd w:val="clear" w:color="auto" w:fill="auto"/>
        <w:tabs>
          <w:tab w:pos="1047" w:val="left"/>
        </w:tabs>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Признать Заказчика нарушившим ч.4 ст.14, ч2 ст.42 Закона.</w:t>
      </w:r>
    </w:p>
    <w:p>
      <w:pPr>
        <w:pStyle w:val="Style11"/>
        <w:keepNext w:val="0"/>
        <w:keepLines w:val="0"/>
        <w:widowControl w:val="0"/>
        <w:numPr>
          <w:ilvl w:val="0"/>
          <w:numId w:val="5"/>
        </w:numPr>
        <w:shd w:val="clear" w:color="auto" w:fill="auto"/>
        <w:tabs>
          <w:tab w:pos="107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Выдать обязательное для исполнения предписание об отмене всех сформированных протоколов, внесении изменений в извещение согласно нормам Закона и с учетом настоящего решения.</w:t>
      </w:r>
    </w:p>
    <w:p>
      <w:pPr>
        <w:pStyle w:val="Style11"/>
        <w:keepNext w:val="0"/>
        <w:keepLines w:val="0"/>
        <w:widowControl w:val="0"/>
        <w:numPr>
          <w:ilvl w:val="0"/>
          <w:numId w:val="5"/>
        </w:numPr>
        <w:shd w:val="clear" w:color="auto" w:fill="auto"/>
        <w:tabs>
          <w:tab w:pos="1074" w:val="left"/>
        </w:tabs>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Рассмотреть вопрос о привлечении к административной ответственности виновного должностного лица Заказчика.</w:t>
      </w:r>
    </w:p>
    <w:p>
      <w:pPr>
        <w:pStyle w:val="Style5"/>
        <w:keepNext w:val="0"/>
        <w:keepLines w:val="0"/>
        <w:widowControl w:val="0"/>
        <w:shd w:val="clear" w:color="auto" w:fill="auto"/>
        <w:bidi w:val="0"/>
        <w:spacing w:before="0" w:after="1000" w:line="240" w:lineRule="auto"/>
        <w:ind w:left="0" w:right="0" w:firstLine="840"/>
        <w:jc w:val="both"/>
      </w:pPr>
      <w:r>
        <w:rPr>
          <w:color w:val="000000"/>
          <w:spacing w:val="0"/>
          <w:w w:val="100"/>
          <w:position w:val="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tbl>
      <w:tblPr>
        <w:tblOverlap w:val="never"/>
        <w:jc w:val="center"/>
        <w:tblLayout w:type="fixed"/>
      </w:tblPr>
      <w:tblGrid>
        <w:gridCol w:w="2899"/>
        <w:gridCol w:w="4152"/>
        <w:gridCol w:w="3110"/>
      </w:tblGrid>
      <w:tr>
        <w:trPr>
          <w:trHeight w:val="1445" w:hRule="exact"/>
        </w:trPr>
        <w:tc>
          <w:tcPr>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c>
        <w:tc>
          <w:tcPr>
            <w:tcBorders/>
            <w:shd w:val="clear" w:color="auto" w:fill="auto"/>
            <w:vAlign w:val="center"/>
          </w:tcPr>
          <w:p>
            <w:pPr>
              <w:pStyle w:val="Style22"/>
              <w:keepNext w:val="0"/>
              <w:keepLines w:val="0"/>
              <w:widowControl w:val="0"/>
              <w:shd w:val="clear" w:color="auto" w:fill="auto"/>
              <w:bidi w:val="0"/>
              <w:spacing w:before="0" w:after="0" w:line="396" w:lineRule="auto"/>
              <w:ind w:left="440" w:right="0" w:firstLine="0"/>
              <w:jc w:val="left"/>
              <w:rPr>
                <w:sz w:val="22"/>
                <w:szCs w:val="22"/>
              </w:rPr>
            </w:pPr>
            <w:r>
              <w:rPr>
                <w:rFonts w:ascii="Arial" w:eastAsia="Arial" w:hAnsi="Arial" w:cs="Arial"/>
                <w:b/>
                <w:bCs/>
                <w:color w:val="838383"/>
                <w:spacing w:val="0"/>
                <w:w w:val="100"/>
                <w:position w:val="0"/>
                <w:sz w:val="22"/>
                <w:szCs w:val="22"/>
                <w:shd w:val="clear" w:color="auto" w:fill="auto"/>
                <w:lang w:val="ru-RU" w:eastAsia="ru-RU" w:bidi="ru-RU"/>
              </w:rPr>
              <w:t xml:space="preserve">Моего для подписи: </w:t>
            </w:r>
            <w:r>
              <w:rPr>
                <w:rFonts w:ascii="Arial" w:eastAsia="Arial" w:hAnsi="Arial" w:cs="Arial"/>
                <w:b/>
                <w:bCs/>
                <w:color w:val="838383"/>
                <w:spacing w:val="0"/>
                <w:w w:val="100"/>
                <w:position w:val="0"/>
                <w:sz w:val="22"/>
                <w:szCs w:val="22"/>
                <w:shd w:val="clear" w:color="auto" w:fill="auto"/>
                <w:lang w:val="ru-RU" w:eastAsia="ru-RU" w:bidi="ru-RU"/>
              </w:rPr>
              <w:t>Благодарен М. А.</w:t>
            </w:r>
          </w:p>
        </w:tc>
        <w:tc>
          <w:tcPr>
            <w:tcBorders/>
            <w:shd w:val="clear" w:color="auto" w:fill="auto"/>
            <w:vAlign w:val="top"/>
          </w:tcPr>
          <w:p>
            <w:pPr>
              <w:pStyle w:val="Style22"/>
              <w:keepNext w:val="0"/>
              <w:keepLines w:val="0"/>
              <w:widowControl w:val="0"/>
              <w:shd w:val="clear" w:color="auto" w:fill="auto"/>
              <w:bidi w:val="0"/>
              <w:spacing w:before="200" w:after="0" w:line="240" w:lineRule="auto"/>
              <w:ind w:left="0" w:right="0" w:firstLine="0"/>
              <w:jc w:val="right"/>
            </w:pPr>
            <w:r>
              <w:rPr>
                <w:color w:val="000000"/>
                <w:spacing w:val="0"/>
                <w:w w:val="100"/>
                <w:position w:val="0"/>
                <w:sz w:val="24"/>
                <w:szCs w:val="24"/>
                <w:shd w:val="clear" w:color="auto" w:fill="auto"/>
                <w:lang w:val="ru-RU" w:eastAsia="ru-RU" w:bidi="ru-RU"/>
              </w:rPr>
              <w:t>М.А. Благодарев</w:t>
            </w:r>
          </w:p>
        </w:tc>
      </w:tr>
      <w:tr>
        <w:trPr>
          <w:trHeight w:val="2155" w:hRule="exact"/>
        </w:trPr>
        <w:tc>
          <w:tcPr>
            <w:tcBorders/>
            <w:shd w:val="clear" w:color="auto" w:fill="auto"/>
            <w:vAlign w:val="top"/>
          </w:tcPr>
          <w:p>
            <w:pPr>
              <w:pStyle w:val="Style22"/>
              <w:keepNext w:val="0"/>
              <w:keepLines w:val="0"/>
              <w:widowControl w:val="0"/>
              <w:shd w:val="clear" w:color="auto" w:fill="auto"/>
              <w:bidi w:val="0"/>
              <w:spacing w:before="24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c>
        <w:tc>
          <w:tcPr>
            <w:tcBorders/>
            <w:shd w:val="clear" w:color="auto" w:fill="auto"/>
            <w:vAlign w:val="bottom"/>
          </w:tcPr>
          <w:p>
            <w:pPr>
              <w:pStyle w:val="Style22"/>
              <w:keepNext w:val="0"/>
              <w:keepLines w:val="0"/>
              <w:widowControl w:val="0"/>
              <w:shd w:val="clear" w:color="auto" w:fill="auto"/>
              <w:bidi w:val="0"/>
              <w:spacing w:before="0" w:after="0" w:line="396" w:lineRule="auto"/>
              <w:ind w:left="440" w:right="0" w:firstLine="0"/>
              <w:jc w:val="left"/>
              <w:rPr>
                <w:sz w:val="22"/>
                <w:szCs w:val="22"/>
              </w:rPr>
            </w:pPr>
            <w:r>
              <w:rPr>
                <w:rFonts w:ascii="Arial" w:eastAsia="Arial" w:hAnsi="Arial" w:cs="Arial"/>
                <w:b/>
                <w:bCs/>
                <w:color w:val="838383"/>
                <w:spacing w:val="0"/>
                <w:w w:val="100"/>
                <w:position w:val="0"/>
                <w:sz w:val="22"/>
                <w:szCs w:val="22"/>
                <w:shd w:val="clear" w:color="auto" w:fill="auto"/>
                <w:lang w:val="ru-RU" w:eastAsia="ru-RU" w:bidi="ru-RU"/>
              </w:rPr>
              <w:t>Моего для подписи:</w:t>
            </w:r>
            <w:r>
              <w:rPr>
                <w:rFonts w:ascii="Arial" w:eastAsia="Arial" w:hAnsi="Arial" w:cs="Arial"/>
                <w:b/>
                <w:bCs/>
                <w:color w:val="838383"/>
                <w:spacing w:val="0"/>
                <w:w w:val="100"/>
                <w:position w:val="0"/>
                <w:sz w:val="22"/>
                <w:szCs w:val="22"/>
                <w:shd w:val="clear" w:color="auto" w:fill="auto"/>
                <w:lang w:val="ru-RU" w:eastAsia="ru-RU" w:bidi="ru-RU"/>
              </w:rPr>
              <w:t xml:space="preserve"> Михарскаи А. А.</w:t>
            </w:r>
          </w:p>
        </w:tc>
        <w:tc>
          <w:tcPr>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А.А. Михарская</w:t>
            </w:r>
          </w:p>
        </w:tc>
      </w:tr>
      <w:tr>
        <w:trPr>
          <w:trHeight w:val="1411"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2"/>
              <w:keepNext w:val="0"/>
              <w:keepLines w:val="0"/>
              <w:widowControl w:val="0"/>
              <w:shd w:val="clear" w:color="auto" w:fill="auto"/>
              <w:bidi w:val="0"/>
              <w:spacing w:before="0" w:after="140" w:line="240" w:lineRule="auto"/>
              <w:ind w:left="440" w:right="0" w:firstLine="0"/>
              <w:jc w:val="left"/>
              <w:rPr>
                <w:sz w:val="22"/>
                <w:szCs w:val="22"/>
              </w:rPr>
            </w:pPr>
            <w:r>
              <w:rPr>
                <w:rFonts w:ascii="Arial" w:eastAsia="Arial" w:hAnsi="Arial" w:cs="Arial"/>
                <w:b/>
                <w:bCs/>
                <w:color w:val="838383"/>
                <w:spacing w:val="0"/>
                <w:w w:val="100"/>
                <w:position w:val="0"/>
                <w:sz w:val="22"/>
                <w:szCs w:val="22"/>
                <w:shd w:val="clear" w:color="auto" w:fill="auto"/>
                <w:lang w:val="ru-RU" w:eastAsia="ru-RU" w:bidi="ru-RU"/>
              </w:rPr>
              <w:t>Моего для подписи:</w:t>
            </w:r>
          </w:p>
          <w:p>
            <w:pPr>
              <w:pStyle w:val="Style22"/>
              <w:keepNext w:val="0"/>
              <w:keepLines w:val="0"/>
              <w:widowControl w:val="0"/>
              <w:shd w:val="clear" w:color="auto" w:fill="auto"/>
              <w:bidi w:val="0"/>
              <w:spacing w:before="0" w:after="0" w:line="240" w:lineRule="auto"/>
              <w:ind w:left="440" w:right="0" w:firstLine="0"/>
              <w:jc w:val="left"/>
              <w:rPr>
                <w:sz w:val="22"/>
                <w:szCs w:val="22"/>
              </w:rPr>
            </w:pPr>
            <w:r>
              <w:rPr>
                <w:rFonts w:ascii="Arial" w:eastAsia="Arial" w:hAnsi="Arial" w:cs="Arial"/>
                <w:b/>
                <w:bCs/>
                <w:color w:val="838383"/>
                <w:spacing w:val="0"/>
                <w:w w:val="100"/>
                <w:position w:val="0"/>
                <w:sz w:val="22"/>
                <w:szCs w:val="22"/>
                <w:shd w:val="clear" w:color="auto" w:fill="auto"/>
                <w:lang w:val="ru-RU" w:eastAsia="ru-RU" w:bidi="ru-RU"/>
              </w:rPr>
              <w:t>Панченко С. В.</w:t>
            </w:r>
          </w:p>
        </w:tc>
        <w:tc>
          <w:tcPr>
            <w:tcBorders/>
            <w:shd w:val="clear" w:color="auto" w:fill="auto"/>
            <w:vAlign w:val="top"/>
          </w:tcPr>
          <w:p>
            <w:pPr>
              <w:pStyle w:val="Style22"/>
              <w:keepNext w:val="0"/>
              <w:keepLines w:val="0"/>
              <w:widowControl w:val="0"/>
              <w:shd w:val="clear" w:color="auto" w:fill="auto"/>
              <w:bidi w:val="0"/>
              <w:spacing w:before="240" w:after="0" w:line="240" w:lineRule="auto"/>
              <w:ind w:left="0" w:right="0" w:firstLine="0"/>
              <w:jc w:val="right"/>
            </w:pPr>
            <w:r>
              <w:rPr>
                <w:color w:val="000000"/>
                <w:spacing w:val="0"/>
                <w:w w:val="100"/>
                <w:position w:val="0"/>
                <w:sz w:val="24"/>
                <w:szCs w:val="24"/>
                <w:shd w:val="clear" w:color="auto" w:fill="auto"/>
                <w:lang w:val="ru-RU" w:eastAsia="ru-RU" w:bidi="ru-RU"/>
              </w:rPr>
              <w:t>С.В. Панченко</w:t>
            </w:r>
          </w:p>
        </w:tc>
      </w:tr>
    </w:tbl>
    <w:p>
      <w:pPr>
        <w:widowControl w:val="0"/>
        <w:spacing w:after="5519" w:line="1" w:lineRule="exact"/>
      </w:pPr>
    </w:p>
    <w:p>
      <w:pPr>
        <w:pStyle w:val="Style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Исп.Панченко С.В.</w:t>
      </w:r>
    </w:p>
    <w:p>
      <w:pPr>
        <w:pStyle w:val="Style5"/>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тел.(863) 240-86-88, вн.061-118</w:t>
      </w:r>
    </w:p>
    <w:sectPr>
      <w:footnotePr>
        <w:pos w:val="pageBottom"/>
        <w:numFmt w:val="decimal"/>
        <w:numRestart w:val="continuous"/>
      </w:footnotePr>
      <w:type w:val="continuous"/>
      <w:pgSz w:w="11900" w:h="16840"/>
      <w:pgMar w:top="1038" w:right="468" w:bottom="1184" w:left="101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713740</wp:posOffset>
              </wp:positionH>
              <wp:positionV relativeFrom="page">
                <wp:posOffset>10005695</wp:posOffset>
              </wp:positionV>
              <wp:extent cx="722630" cy="100330"/>
              <wp:wrapNone/>
              <wp:docPr id="5" name="Shape 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2023-17178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56.200000000000003pt;margin-top:787.85000000000002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2023-17178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722630" cy="100330"/>
              <wp:wrapNone/>
              <wp:docPr id="7" name="Shape 7"/>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2023-17178</w:t>
                          </w:r>
                        </w:p>
                      </w:txbxContent>
                    </wps:txbx>
                    <wps:bodyPr wrap="none" lIns="0" tIns="0" rIns="0" bIns="0">
                      <a:spAutoFit/>
                    </wps:bodyPr>
                  </wps:wsp>
                </a:graphicData>
              </a:graphic>
            </wp:anchor>
          </w:drawing>
        </mc:Choice>
        <mc:Fallback>
          <w:pict>
            <v:shape id="_x0000_s1033" type="#_x0000_t202" style="position:absolute;margin-left:57.pt;margin-top:776.20000000000005pt;width:56.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2023-17178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Arial" w:eastAsia="Arial" w:hAnsi="Arial" w:cs="Arial"/>
      <w:b/>
      <w:bCs/>
      <w:i w:val="0"/>
      <w:iCs w:val="0"/>
      <w:smallCaps w:val="0"/>
      <w:strike w:val="0"/>
      <w:color w:val="1D1D1D"/>
      <w:sz w:val="10"/>
      <w:szCs w:val="10"/>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6">
    <w:name w:val="Колонтитул (2)_"/>
    <w:basedOn w:val="DefaultParagraphFont"/>
    <w:link w:val="Style15"/>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Заголовок №1_"/>
    <w:basedOn w:val="DefaultParagraphFont"/>
    <w:link w:val="Style18"/>
    <w:rPr>
      <w:rFonts w:ascii="Times New Roman" w:eastAsia="Times New Roman" w:hAnsi="Times New Roman" w:cs="Times New Roman"/>
      <w:b/>
      <w:bCs/>
      <w:i w:val="0"/>
      <w:iCs w:val="0"/>
      <w:smallCaps w:val="0"/>
      <w:strike w:val="0"/>
      <w:u w:val="none"/>
    </w:rPr>
  </w:style>
  <w:style w:type="character" w:customStyle="1" w:styleId="CharStyle23">
    <w:name w:val="Другое_"/>
    <w:basedOn w:val="DefaultParagraphFont"/>
    <w:link w:val="Style22"/>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3)"/>
    <w:basedOn w:val="Normal"/>
    <w:link w:val="CharStyle3"/>
    <w:pPr>
      <w:widowControl w:val="0"/>
      <w:shd w:val="clear" w:color="auto" w:fill="auto"/>
      <w:spacing w:after="30" w:line="276"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5">
    <w:name w:val="Основной текст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ind w:firstLine="140"/>
    </w:pPr>
    <w:rPr>
      <w:rFonts w:ascii="Arial" w:eastAsia="Arial" w:hAnsi="Arial" w:cs="Arial"/>
      <w:b/>
      <w:bCs/>
      <w:i w:val="0"/>
      <w:iCs w:val="0"/>
      <w:smallCaps w:val="0"/>
      <w:strike w:val="0"/>
      <w:color w:val="1D1D1D"/>
      <w:sz w:val="10"/>
      <w:szCs w:val="10"/>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Колонтитул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Заголовок №1"/>
    <w:basedOn w:val="Normal"/>
    <w:link w:val="CharStyle19"/>
    <w:pPr>
      <w:widowControl w:val="0"/>
      <w:shd w:val="clear" w:color="auto" w:fill="auto"/>
      <w:spacing w:after="110"/>
      <w:ind w:left="2720"/>
      <w:outlineLvl w:val="0"/>
    </w:pPr>
    <w:rPr>
      <w:rFonts w:ascii="Times New Roman" w:eastAsia="Times New Roman" w:hAnsi="Times New Roman" w:cs="Times New Roman"/>
      <w:b/>
      <w:bCs/>
      <w:i w:val="0"/>
      <w:iCs w:val="0"/>
      <w:smallCaps w:val="0"/>
      <w:strike w:val="0"/>
      <w:u w:val="none"/>
    </w:rPr>
  </w:style>
  <w:style w:type="paragraph" w:customStyle="1" w:styleId="Style22">
    <w:name w:val="Другое"/>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s>
</file>