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67" w:left="2979" w:right="7937" w:bottom="696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46" w:after="4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/>
        <w:ind w:left="0" w:right="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07"/>
        <w:ind w:left="0" w:right="0" w:firstLine="0"/>
      </w:pPr>
      <w:r>
        <w:rPr>
          <w:rStyle w:val="CharStyle8"/>
          <w:b/>
          <w:bCs/>
        </w:rPr>
        <w:t>УПРАВЛЕНИЕ Федеральной антимонопольной службы по Калужской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28"/>
        <w:ind w:left="0" w:right="0" w:firstLine="0"/>
      </w:pPr>
      <w:r>
        <w:rPr>
          <w:rStyle w:val="CharStyle11"/>
          <w:b/>
          <w:bCs/>
        </w:rPr>
        <w:t xml:space="preserve">пл. Старый Торг, 5, г. Калуга, 248000 тел. (4842) 57-65-92, факс (4842) 57-65-92 </w:t>
      </w:r>
      <w:r>
        <w:rPr>
          <w:rStyle w:val="CharStyle11"/>
          <w:lang w:val="en-US" w:eastAsia="en-US" w:bidi="en-US"/>
          <w:b/>
          <w:bCs/>
        </w:rPr>
        <w:t xml:space="preserve">e-mail: </w:t>
      </w:r>
      <w:r>
        <w:fldChar w:fldCharType="begin"/>
      </w:r>
      <w:r>
        <w:rPr>
          <w:rStyle w:val="CharStyle11"/>
        </w:rPr>
        <w:instrText> HYPERLINK "mailto:to40@fas.gov.ru" </w:instrText>
      </w:r>
      <w:r>
        <w:fldChar w:fldCharType="separate"/>
      </w:r>
      <w:r>
        <w:rPr>
          <w:rStyle w:val="Hyperlink"/>
          <w:lang w:val="en-US" w:eastAsia="en-US" w:bidi="en-US"/>
          <w:b/>
          <w:bCs/>
        </w:rPr>
        <w:t>to40@fas.gov.ru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23" w:line="320" w:lineRule="exact"/>
        <w:ind w:left="660" w:right="0" w:firstLine="0"/>
      </w:pPr>
      <w:r>
        <w:rPr>
          <w:rStyle w:val="CharStyle14"/>
          <w:lang w:val="ru-RU" w:eastAsia="ru-RU" w:bidi="ru-RU"/>
          <w:b/>
          <w:bCs/>
          <w:i/>
          <w:iCs/>
        </w:rPr>
        <w:t xml:space="preserve">Р 7, // </w:t>
      </w:r>
      <w:r>
        <w:rPr>
          <w:rStyle w:val="CharStyle14"/>
          <w:b/>
          <w:bCs/>
          <w:i/>
          <w:iCs/>
        </w:rPr>
        <w:t>SS</w:t>
      </w:r>
      <w:r>
        <w:rPr>
          <w:rStyle w:val="CharStyle15"/>
          <w:b w:val="0"/>
          <w:bCs w:val="0"/>
          <w:i w:val="0"/>
          <w:iCs w:val="0"/>
        </w:rPr>
        <w:t xml:space="preserve"> </w:t>
      </w:r>
      <w:r>
        <w:rPr>
          <w:rStyle w:val="CharStyle16"/>
          <w:b w:val="0"/>
          <w:bCs w:val="0"/>
          <w:i w:val="0"/>
          <w:iCs w:val="0"/>
        </w:rPr>
        <w:t xml:space="preserve">№ </w:t>
      </w:r>
      <w:r>
        <w:rPr>
          <w:rStyle w:val="CharStyle14"/>
          <w:b/>
          <w:bCs/>
          <w:i/>
          <w:iCs/>
        </w:rPr>
        <w:t xml:space="preserve">OS'/- </w:t>
      </w:r>
      <w:r>
        <w:rPr>
          <w:rStyle w:val="CharStyle17"/>
          <w:b w:val="0"/>
          <w:bCs w:val="0"/>
          <w:i/>
          <w:iCs/>
        </w:rPr>
        <w:t>V</w:t>
      </w:r>
    </w:p>
    <w:p>
      <w:pPr>
        <w:pStyle w:val="Style9"/>
        <w:tabs>
          <w:tab w:leader="underscore" w:pos="2331" w:val="right"/>
          <w:tab w:leader="underscore" w:pos="399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560" w:right="0" w:firstLine="0"/>
      </w:pPr>
      <w:r>
        <w:rPr>
          <w:rStyle w:val="CharStyle11"/>
          <w:b/>
          <w:bCs/>
        </w:rPr>
        <w:t>На №</w:t>
      </w:r>
      <w:r>
        <w:rPr>
          <w:rStyle w:val="CharStyle18"/>
          <w:lang w:val="ru-RU" w:eastAsia="ru-RU" w:bidi="ru-RU"/>
          <w:b/>
          <w:bCs/>
        </w:rPr>
        <w:tab/>
      </w:r>
      <w:r>
        <w:rPr>
          <w:rStyle w:val="CharStyle11"/>
          <w:b/>
          <w:bCs/>
        </w:rPr>
        <w:t>от</w:t>
      </w:r>
      <w:r>
        <w:rPr>
          <w:rStyle w:val="CharStyle18"/>
          <w:lang w:val="ru-RU" w:eastAsia="ru-RU" w:bidi="ru-RU"/>
          <w:b/>
          <w:bCs/>
        </w:rPr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54" w:line="230" w:lineRule="exact"/>
        <w:ind w:left="20" w:right="0" w:firstLine="0"/>
      </w:pPr>
      <w:r>
        <w:rPr>
          <w:rStyle w:val="CharStyle5"/>
        </w:rPr>
        <w:t>ООО «ТОННЕЛЬТРАНССТРОЙ»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0"/>
        <w:sectPr>
          <w:type w:val="continuous"/>
          <w:pgSz w:w="11906" w:h="16838"/>
          <w:pgMar w:top="667" w:left="1280" w:right="829" w:bottom="696" w:header="0" w:footer="3" w:gutter="0"/>
          <w:rtlGutter w:val="0"/>
          <w:cols w:num="2" w:space="720" w:equalWidth="0">
            <w:col w:w="4579" w:space="1248"/>
            <w:col w:w="3970"/>
          </w:cols>
          <w:noEndnote/>
          <w:docGrid w:linePitch="360"/>
        </w:sectPr>
      </w:pPr>
      <w:r>
        <w:rPr>
          <w:rStyle w:val="CharStyle5"/>
        </w:rPr>
        <w:t>ул. Посёлок Тихвинка, д. 46-а, г. Смоленск, 214018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60"/>
      </w:pPr>
      <w:r>
        <w:rPr>
          <w:rStyle w:val="CharStyle5"/>
        </w:rPr>
        <w:t>03.11.2017г. в адрес Калужского УФАС России поступила жалоба ООО «ТОННЕЛЬТРАНССТРОЙ» на неправомерное отклонение второй части заявки участника при проведении аукциона в электронной форме (номер извещения на официальном сайте 0137300037717000356), предметом которого является выполнение работ 2-го этапа строительства городского магистрального хозфекального коллектора (от КНС мкр.№5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</w:t>
      </w:r>
      <w:r>
        <w:rPr>
          <w:rStyle w:val="CharStyle5"/>
        </w:rPr>
        <w:t>через ул.Белкинская, Энгельса и Красных Зорь до городских очистных сооружений)..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60"/>
      </w:pPr>
      <w:r>
        <w:rPr>
          <w:rStyle w:val="CharStyle5"/>
        </w:rPr>
        <w:t xml:space="preserve">Согласно части 7 статьи 105 Федерального закона от 05.04.2013 </w:t>
      </w:r>
      <w:r>
        <w:rPr>
          <w:rStyle w:val="CharStyle5"/>
          <w:lang w:val="en-US" w:eastAsia="en-US" w:bidi="en-US"/>
        </w:rPr>
        <w:t xml:space="preserve">N </w:t>
      </w:r>
      <w:r>
        <w:rPr>
          <w:rStyle w:val="CharStyle5"/>
        </w:rPr>
        <w:t xml:space="preserve">44-ФЗ участник закупки, общественное объединение и объединение юридических лиц подают жалобу в письменной форме. Аналогичная норма изложена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</w:t>
      </w:r>
      <w:r>
        <w:rPr>
          <w:rStyle w:val="CharStyle5"/>
        </w:rPr>
        <w:t>п. 3.6 Административного регламента по рассмотрению жалоб (утв. приказом ФАС России от 19.11.2014 №727/14 (далее - регламент).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60"/>
      </w:pPr>
      <w:r>
        <w:rPr>
          <w:rStyle w:val="CharStyle5"/>
        </w:rPr>
        <w:t>Частью 10 статьи 105 Закона о контрактной системе установлено, что жалоба подписывается подающим ее лицом или его представителем.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60"/>
      </w:pPr>
      <w:r>
        <w:rPr>
          <w:rStyle w:val="CharStyle5"/>
        </w:rPr>
        <w:t>Согласно части 1 статьи 6 Федерального закона от 06.04.2011г. № 63-ФЗ «Об электронной подписи»,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60"/>
      </w:pPr>
      <w:r>
        <w:rPr>
          <w:rStyle w:val="CharStyle5"/>
        </w:rPr>
        <w:t xml:space="preserve">Жалоба ООО «ТОННЕЛЬТРАНССТРОЙ» поступила в Калужское УФАС России посредством электронной почты в </w:t>
      </w:r>
      <w:r>
        <w:rPr>
          <w:rStyle w:val="CharStyle19"/>
        </w:rPr>
        <w:t xml:space="preserve">сканированном электронном виде, </w:t>
      </w:r>
      <w:r>
        <w:rPr>
          <w:rStyle w:val="CharStyle5"/>
        </w:rPr>
        <w:t xml:space="preserve">вместе с тем, жалоба не подписана участником закупки в соответствии с требованиями, установленными Федеральным законом от 06.04.2011г. № 63-ФЗ «Об электронной подписи», а именно </w:t>
      </w:r>
      <w:r>
        <w:rPr>
          <w:rStyle w:val="CharStyle19"/>
        </w:rPr>
        <w:t xml:space="preserve">не подписана электронной подписью представителя Заявителя, </w:t>
      </w:r>
      <w:r>
        <w:rPr>
          <w:rStyle w:val="CharStyle5"/>
        </w:rPr>
        <w:t>в связи, с чем указанная жалоба не соответствует требованиям части 10 статьи 105 Федерального закона от 05.04.2013 № 44-ФЗ.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60"/>
      </w:pPr>
      <w:r>
        <w:rPr>
          <w:rStyle w:val="CharStyle5"/>
        </w:rPr>
        <w:t>Пунктом 2 части 11 статьи 105 Федерального закона от 05.04.2013 № 44-ФЗ установлено, что жалоба возвращается подавшему ее лицу без рассмотрения в случае, если: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60"/>
      </w:pPr>
      <w:r>
        <w:rPr>
          <w:rStyle w:val="CharStyle5"/>
        </w:rPr>
        <w:t>2) жалоба не подписана или жалоба подписана лицом, полномочия которого не подтверждены документами.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60"/>
      </w:pPr>
      <w:r>
        <w:rPr>
          <w:rStyle w:val="CharStyle5"/>
        </w:rPr>
        <w:t>На основании вышеуказанного, руководствуясь положениями частей 10, 11 статьи 105 Федерального закона от 05.04.2013 № 44-ФЗ Калужское УФАС России решило возвратить жалобу ООО «ТОННЕЛЬТРАНССТРОЙ» (вх. от 03.11.2017г. №6945э).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60"/>
        <w:sectPr>
          <w:type w:val="continuous"/>
          <w:pgSz w:w="11906" w:h="16838"/>
          <w:pgMar w:top="1036" w:left="829" w:right="805" w:bottom="1065" w:header="0" w:footer="3" w:gutter="0"/>
          <w:rtlGutter w:val="0"/>
          <w:cols w:space="720"/>
          <w:noEndnote/>
          <w:docGrid w:linePitch="360"/>
        </w:sectPr>
      </w:pPr>
      <w:r>
        <w:rPr>
          <w:rStyle w:val="CharStyle5"/>
        </w:rPr>
        <w:t>В соответствии с частью 14 статьи 105 Федерального закона от 05.04.2013 № 44-ФЗ решение о возвращении жалобы может быть обжаловано в судебном порядке.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" w:after="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8" w:line="230" w:lineRule="exact"/>
        <w:ind w:left="0" w:right="0" w:firstLine="0"/>
      </w:pPr>
      <w:r>
        <w:rPr>
          <w:rStyle w:val="CharStyle5"/>
        </w:rPr>
        <w:t xml:space="preserve">Заместитель руководителя </w:t>
      </w:r>
      <w:r>
        <w:rPr>
          <w:rStyle w:val="CharStyle22"/>
        </w:rPr>
        <w:t>-</w:t>
      </w:r>
    </w:p>
    <w:p>
      <w:pPr>
        <w:pStyle w:val="Style3"/>
        <w:framePr w:h="234" w:wrap="around" w:vAnchor="text" w:hAnchor="margin" w:x="8613" w:y="-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21"/>
          <w:spacing w:val="0"/>
        </w:rPr>
        <w:t>М.А. Чуриков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6827" w:line="230" w:lineRule="exact"/>
        <w:ind w:left="0" w:right="0" w:firstLine="0"/>
      </w:pPr>
      <w:r>
        <w:rPr>
          <w:rStyle w:val="CharStyle5"/>
        </w:rPr>
        <w:t>начальник отдела Калужского УФАС России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40" w:firstLine="0"/>
      </w:pPr>
      <w:r>
        <w:rPr>
          <w:rStyle w:val="CharStyle25"/>
          <w:b/>
          <w:bCs/>
        </w:rPr>
        <w:t xml:space="preserve">Исп. Дерябина С.С. </w:t>
      </w:r>
      <w:r>
        <w:rPr>
          <w:rStyle w:val="CharStyle26"/>
          <w:b/>
          <w:bCs/>
        </w:rPr>
        <w:t>8</w:t>
      </w:r>
      <w:r>
        <w:rPr>
          <w:rStyle w:val="CharStyle27"/>
          <w:b/>
          <w:bCs/>
        </w:rPr>
        <w:t xml:space="preserve"> (</w:t>
      </w:r>
      <w:r>
        <w:rPr>
          <w:rStyle w:val="CharStyle26"/>
          <w:b/>
          <w:bCs/>
        </w:rPr>
        <w:t>4842</w:t>
      </w:r>
      <w:r>
        <w:rPr>
          <w:rStyle w:val="CharStyle27"/>
          <w:b/>
          <w:bCs/>
        </w:rPr>
        <w:t xml:space="preserve">) </w:t>
      </w:r>
      <w:r>
        <w:rPr>
          <w:rStyle w:val="CharStyle26"/>
          <w:b/>
          <w:bCs/>
        </w:rPr>
        <w:t>57</w:t>
      </w:r>
      <w:r>
        <w:rPr>
          <w:rStyle w:val="CharStyle27"/>
          <w:b/>
          <w:bCs/>
        </w:rPr>
        <w:t>-</w:t>
      </w:r>
      <w:r>
        <w:rPr>
          <w:rStyle w:val="CharStyle26"/>
          <w:b/>
          <w:bCs/>
        </w:rPr>
        <w:t>48-50</w:t>
      </w:r>
    </w:p>
    <w:sectPr>
      <w:type w:val="continuous"/>
      <w:pgSz w:w="11906" w:h="16838"/>
      <w:pgMar w:top="1498" w:left="853" w:right="5989" w:bottom="150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/>
      <w:bCs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30"/>
    </w:rPr>
  </w:style>
  <w:style w:type="character" w:customStyle="1" w:styleId="CharStyle14">
    <w:name w:val="Основной текст (4)"/>
    <w:basedOn w:val="CharStyle13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15">
    <w:name w:val="Основной текст (4) + Arial,7,5 pt,Не полужирный,Не курсив,Интервал 0 pt"/>
    <w:basedOn w:val="CharStyle13"/>
    <w:rPr>
      <w:lang w:val="en-US" w:eastAsia="en-US" w:bidi="en-US"/>
      <w:b/>
      <w:bCs/>
      <w:i/>
      <w:iCs/>
      <w:sz w:val="15"/>
      <w:szCs w:val="15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6">
    <w:name w:val="Основной текст (4) + Arial,9,5 pt,Не полужирный,Не курсив,Интервал 0 pt"/>
    <w:basedOn w:val="CharStyle13"/>
    <w:rPr>
      <w:lang w:val="ru-RU" w:eastAsia="ru-RU" w:bidi="ru-RU"/>
      <w:b/>
      <w:bCs/>
      <w:i/>
      <w:iCs/>
      <w:sz w:val="19"/>
      <w:szCs w:val="19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7">
    <w:name w:val="Основной текст (4) + Impact,16 pt,Не полужирный,Интервал 0 pt"/>
    <w:basedOn w:val="CharStyle13"/>
    <w:rPr>
      <w:lang w:val="ru-RU" w:eastAsia="ru-RU" w:bidi="ru-RU"/>
      <w:b/>
      <w:bCs/>
      <w:u w:val="single"/>
      <w:sz w:val="32"/>
      <w:szCs w:val="32"/>
      <w:rFonts w:ascii="Impact" w:eastAsia="Impact" w:hAnsi="Impact" w:cs="Impact"/>
      <w:w w:val="100"/>
      <w:spacing w:val="0"/>
      <w:color w:val="000000"/>
      <w:position w:val="0"/>
    </w:rPr>
  </w:style>
  <w:style w:type="character" w:customStyle="1" w:styleId="CharStyle18">
    <w:name w:val="Основной текст (3)"/>
    <w:basedOn w:val="CharStyle10"/>
    <w:rPr>
      <w:lang w:val="1024"/>
      <w:w w:val="100"/>
      <w:spacing w:val="0"/>
      <w:color w:val="000000"/>
      <w:position w:val="0"/>
    </w:rPr>
  </w:style>
  <w:style w:type="character" w:customStyle="1" w:styleId="CharStyle19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9"/>
    </w:rPr>
  </w:style>
  <w:style w:type="character" w:customStyle="1" w:styleId="CharStyle21">
    <w:name w:val="Основной текст Exact"/>
    <w:basedOn w:val="CharStyle4"/>
    <w:rPr>
      <w:lang w:val="ru-RU" w:eastAsia="ru-RU" w:bidi="ru-RU"/>
      <w:sz w:val="22"/>
      <w:szCs w:val="22"/>
      <w:w w:val="100"/>
      <w:spacing w:val="9"/>
      <w:color w:val="000000"/>
      <w:position w:val="0"/>
    </w:rPr>
  </w:style>
  <w:style w:type="character" w:customStyle="1" w:styleId="CharStyle22">
    <w:name w:val="Основной текст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Основной текст (5)_"/>
    <w:basedOn w:val="DefaultParagraphFont"/>
    <w:link w:val="Style23"/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25">
    <w:name w:val="Основной текст (5)"/>
    <w:basedOn w:val="CharStyle2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6">
    <w:name w:val="Основной текст (5) + 8 pt"/>
    <w:basedOn w:val="CharStyle24"/>
    <w:rPr>
      <w:lang w:val="ru-RU" w:eastAsia="ru-RU" w:bidi="ru-RU"/>
      <w:sz w:val="16"/>
      <w:szCs w:val="16"/>
      <w:w w:val="100"/>
      <w:spacing w:val="0"/>
      <w:color w:val="000000"/>
      <w:position w:val="0"/>
    </w:rPr>
  </w:style>
  <w:style w:type="character" w:customStyle="1" w:styleId="CharStyle27">
    <w:name w:val="Основной текст (5) + Arial"/>
    <w:basedOn w:val="CharStyle24"/>
    <w:rPr>
      <w:lang w:val="ru-RU" w:eastAsia="ru-RU" w:bidi="ru-RU"/>
      <w:rFonts w:ascii="Arial" w:eastAsia="Arial" w:hAnsi="Arial" w:cs="Arial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180" w:line="28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180" w:after="180" w:line="28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180" w:after="180" w:line="254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spacing w:before="180" w:after="300" w:line="0" w:lineRule="exact"/>
    </w:pPr>
    <w:rPr>
      <w:b/>
      <w:bCs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30"/>
    </w:rPr>
  </w:style>
  <w:style w:type="paragraph" w:customStyle="1" w:styleId="Style23">
    <w:name w:val="Основной текст (5)"/>
    <w:basedOn w:val="Normal"/>
    <w:link w:val="CharStyle24"/>
    <w:pPr>
      <w:widowControl w:val="0"/>
      <w:shd w:val="clear" w:color="auto" w:fill="FFFFFF"/>
      <w:spacing w:before="6900" w:line="202" w:lineRule="exact"/>
    </w:pPr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