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6" w:h="907" w:wrap="none" w:hAnchor="page" w:x="1601" w:y="971"/>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framePr w:w="3226" w:h="907" w:wrap="none" w:hAnchor="page" w:x="1601" w:y="971"/>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2"/>
        <w:keepNext w:val="0"/>
        <w:keepLines w:val="0"/>
        <w:framePr w:w="3226" w:h="907" w:wrap="none" w:hAnchor="page" w:x="1601" w:y="971"/>
        <w:widowControl w:val="0"/>
        <w:shd w:val="clear" w:color="auto" w:fill="auto"/>
        <w:bidi w:val="0"/>
        <w:spacing w:before="0" w:after="10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framePr w:w="1142" w:h="240" w:wrap="none" w:hAnchor="page" w:x="2653" w:y="2094"/>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2"/>
        <w:keepNext w:val="0"/>
        <w:keepLines w:val="0"/>
        <w:framePr w:w="3773" w:h="1301" w:wrap="none" w:hAnchor="page" w:x="1333" w:y="2507"/>
        <w:widowControl w:val="0"/>
        <w:shd w:val="clear" w:color="auto" w:fill="auto"/>
        <w:bidi w:val="0"/>
        <w:spacing w:before="0" w:after="0"/>
        <w:ind w:left="0" w:right="0"/>
        <w:jc w:val="left"/>
        <w:rPr>
          <w:sz w:val="10"/>
          <w:szCs w:val="10"/>
        </w:rPr>
      </w:pPr>
      <w:r>
        <w:rPr>
          <w:spacing w:val="0"/>
          <w:w w:val="100"/>
          <w:position w:val="0"/>
          <w:sz w:val="19"/>
          <w:szCs w:val="19"/>
          <w:shd w:val="clear" w:color="auto" w:fill="auto"/>
          <w:lang w:val="ru-RU" w:eastAsia="ru-RU" w:bidi="ru-RU"/>
        </w:rPr>
        <w:t xml:space="preserve">Мясницкий проезд, д.4, стр. 1 107078, г. Москва, тел. (495) 784-75-05, факс (495) 607-49-29 факс (495) 607-42-92, </w:t>
      </w:r>
      <w:r>
        <w:rPr>
          <w:spacing w:val="0"/>
          <w:w w:val="100"/>
          <w:position w:val="0"/>
          <w:sz w:val="19"/>
          <w:szCs w:val="19"/>
          <w:u w:val="single"/>
          <w:shd w:val="clear" w:color="auto" w:fill="auto"/>
          <w:lang w:val="ru-RU" w:eastAsia="ru-RU" w:bidi="ru-RU"/>
        </w:rPr>
        <w:t xml:space="preserve">е-таП: 1о77@Га8.еоу.ги </w:t>
      </w:r>
      <w:r>
        <w:rPr>
          <w:rFonts w:ascii="Arial" w:eastAsia="Arial" w:hAnsi="Arial" w:cs="Arial"/>
          <w:b/>
          <w:bCs/>
          <w:color w:val="000000"/>
          <w:spacing w:val="0"/>
          <w:w w:val="100"/>
          <w:position w:val="0"/>
          <w:sz w:val="10"/>
          <w:szCs w:val="10"/>
          <w:shd w:val="clear" w:color="auto" w:fill="auto"/>
          <w:lang w:val="ru-RU" w:eastAsia="ru-RU" w:bidi="ru-RU"/>
        </w:rPr>
        <w:t xml:space="preserve">штамп </w:t>
      </w:r>
      <w:r>
        <w:fldChar w:fldCharType="begin"/>
      </w:r>
      <w:r>
        <w:rPr/>
        <w:instrText> HYPERLINK "file://f207ca94-a13c-4ba0-b72d-f018c9eed8f1/" </w:instrText>
      </w:r>
      <w:r>
        <w:fldChar w:fldCharType="separate"/>
      </w:r>
      <w:r>
        <w:rPr>
          <w:rFonts w:ascii="Arial" w:eastAsia="Arial" w:hAnsi="Arial" w:cs="Arial"/>
          <w:b/>
          <w:bCs/>
          <w:color w:val="000000"/>
          <w:spacing w:val="0"/>
          <w:w w:val="100"/>
          <w:position w:val="0"/>
          <w:sz w:val="10"/>
          <w:szCs w:val="10"/>
          <w:shd w:val="clear" w:color="auto" w:fill="auto"/>
          <w:lang w:val="ru-RU" w:eastAsia="ru-RU" w:bidi="ru-RU"/>
        </w:rPr>
        <w:t>регистрации</w:t>
      </w:r>
      <w:r>
        <w:fldChar w:fldCharType="end"/>
      </w:r>
    </w:p>
    <w:p>
      <w:pPr>
        <w:pStyle w:val="Style2"/>
        <w:keepNext w:val="0"/>
        <w:keepLines w:val="0"/>
        <w:framePr w:w="4061" w:h="254" w:wrap="none" w:hAnchor="page" w:x="1145" w:y="4119"/>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pStyle w:val="Style7"/>
        <w:keepNext w:val="0"/>
        <w:keepLines w:val="0"/>
        <w:framePr w:w="4738" w:h="4896"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ФГБУ «НИЦ «Курчатовский институт»</w:t>
      </w:r>
    </w:p>
    <w:p>
      <w:pPr>
        <w:pStyle w:val="Style7"/>
        <w:keepNext w:val="0"/>
        <w:keepLines w:val="0"/>
        <w:framePr w:w="4738" w:h="4896"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окр@пгскЁги</w:t>
      </w:r>
    </w:p>
    <w:p>
      <w:pPr>
        <w:pStyle w:val="Style7"/>
        <w:keepNext w:val="0"/>
        <w:keepLines w:val="0"/>
        <w:framePr w:w="4738" w:h="4896"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«Связьпроект»</w:t>
      </w:r>
    </w:p>
    <w:p>
      <w:pPr>
        <w:pStyle w:val="Style7"/>
        <w:keepNext w:val="0"/>
        <w:keepLines w:val="0"/>
        <w:framePr w:w="4738" w:h="4896"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оПке@\\рЫ.П1</w:t>
      </w:r>
    </w:p>
    <w:p>
      <w:pPr>
        <w:pStyle w:val="Style7"/>
        <w:keepNext w:val="0"/>
        <w:keepLines w:val="0"/>
        <w:framePr w:w="4738" w:h="4896"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«Ребус ит гроуп»</w:t>
      </w:r>
    </w:p>
    <w:p>
      <w:pPr>
        <w:pStyle w:val="Style7"/>
        <w:keepNext w:val="0"/>
        <w:keepLines w:val="0"/>
        <w:framePr w:w="4738" w:h="4896"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т&amp;@геЪи8-й.ги</w:t>
      </w:r>
    </w:p>
    <w:p>
      <w:pPr>
        <w:pStyle w:val="Style7"/>
        <w:keepNext w:val="0"/>
        <w:keepLines w:val="0"/>
        <w:framePr w:w="4738" w:h="4896"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«Ниагара Компьютерс»</w:t>
      </w:r>
    </w:p>
    <w:p>
      <w:pPr>
        <w:pStyle w:val="Style7"/>
        <w:keepNext w:val="0"/>
        <w:keepLines w:val="0"/>
        <w:framePr w:w="4738" w:h="4896"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то81епдег@тадага.ги</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sectPr>
          <w:footnotePr>
            <w:pos w:val="pageBottom"/>
            <w:numFmt w:val="decimal"/>
            <w:numRestart w:val="continuous"/>
          </w:footnotePr>
          <w:pgSz w:w="11900" w:h="16840"/>
          <w:pgMar w:top="294" w:right="532" w:bottom="238" w:left="1106" w:header="0" w:footer="3" w:gutter="0"/>
          <w:pgNumType w:start="1"/>
          <w:cols w:space="720"/>
          <w:noEndnote/>
          <w:rtlGutter w:val="0"/>
          <w:docGrid w:linePitch="360"/>
        </w:sect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238" w:left="0" w:header="0" w:footer="3" w:gutter="0"/>
          <w:cols w:space="720"/>
          <w:noEndnote/>
          <w:rtlGutter w:val="0"/>
          <w:docGrid w:linePitch="360"/>
        </w:sectPr>
      </w:pPr>
    </w:p>
    <w:p>
      <w:pPr>
        <w:pStyle w:val="Style7"/>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294" w:right="2855" w:bottom="238" w:left="3434" w:header="0" w:footer="3" w:gutter="0"/>
          <w:cols w:space="720"/>
          <w:noEndnote/>
          <w:rtlGutter w:val="0"/>
          <w:docGrid w:linePitch="360"/>
        </w:sectPr>
      </w:pPr>
      <w:r>
        <w:rPr>
          <w:b/>
          <w:bCs/>
          <w:color w:val="000000"/>
          <w:spacing w:val="0"/>
          <w:w w:val="100"/>
          <w:position w:val="0"/>
          <w:shd w:val="clear" w:color="auto" w:fill="auto"/>
          <w:lang w:val="ru-RU" w:eastAsia="ru-RU" w:bidi="ru-RU"/>
        </w:rPr>
        <w:t>РЕШЕНИЕ</w:t>
        <w:br/>
        <w:t>по делу №077/06/106-9528/2023 о нарушении</w:t>
        <w:br/>
        <w:t>законодательства о контрактной системе</w:t>
      </w:r>
    </w:p>
    <w:p>
      <w:pPr>
        <w:widowControl w:val="0"/>
        <w:spacing w:line="159" w:lineRule="exact"/>
        <w:rPr>
          <w:sz w:val="13"/>
          <w:szCs w:val="13"/>
        </w:rPr>
      </w:pPr>
    </w:p>
    <w:p>
      <w:pPr>
        <w:widowControl w:val="0"/>
        <w:spacing w:line="1" w:lineRule="exact"/>
        <w:sectPr>
          <w:footnotePr>
            <w:pos w:val="pageBottom"/>
            <w:numFmt w:val="decimal"/>
            <w:numRestart w:val="continuous"/>
          </w:footnotePr>
          <w:type w:val="continuous"/>
          <w:pgSz w:w="11900" w:h="16840"/>
          <w:pgMar w:top="294" w:right="0" w:bottom="238" w:left="0" w:header="0" w:footer="3" w:gutter="0"/>
          <w:cols w:space="720"/>
          <w:noEndnote/>
          <w:rtlGutter w:val="0"/>
          <w:docGrid w:linePitch="360"/>
        </w:sectPr>
      </w:pPr>
    </w:p>
    <w:p>
      <w:pPr>
        <w:pStyle w:val="Style10"/>
        <w:keepNext/>
        <w:keepLines/>
        <w:framePr w:w="1282" w:h="394" w:wrap="none" w:vAnchor="text" w:hAnchor="page" w:x="1131" w:y="21"/>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18.07.2023</w:t>
      </w:r>
      <w:bookmarkEnd w:id="0"/>
    </w:p>
    <w:p>
      <w:pPr>
        <w:pStyle w:val="Style10"/>
        <w:keepNext/>
        <w:keepLines/>
        <w:framePr w:w="1258" w:h="394" w:wrap="none" w:vAnchor="text" w:hAnchor="page" w:x="10069" w:y="21"/>
        <w:widowControl w:val="0"/>
        <w:shd w:val="clear" w:color="auto" w:fill="auto"/>
        <w:bidi w:val="0"/>
        <w:spacing w:before="0" w:after="0" w:line="240" w:lineRule="auto"/>
        <w:ind w:left="0" w:right="0" w:firstLine="0"/>
        <w:jc w:val="center"/>
      </w:pPr>
      <w:bookmarkStart w:id="2" w:name="bookmark2"/>
      <w:r>
        <w:rPr>
          <w:color w:val="000000"/>
          <w:spacing w:val="0"/>
          <w:w w:val="100"/>
          <w:position w:val="0"/>
          <w:shd w:val="clear" w:color="auto" w:fill="auto"/>
          <w:lang w:val="ru-RU" w:eastAsia="ru-RU" w:bidi="ru-RU"/>
        </w:rPr>
        <w:t>г. Москва</w:t>
      </w:r>
      <w:bookmarkEnd w:id="2"/>
    </w:p>
    <w:p>
      <w:pPr>
        <w:pStyle w:val="Style7"/>
        <w:keepNext w:val="0"/>
        <w:keepLines w:val="0"/>
        <w:framePr w:w="8045" w:h="384" w:wrap="none" w:vAnchor="text" w:hAnchor="page" w:x="3296" w:y="6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Управления Федеральной антимонопольной службы по</w:t>
      </w:r>
    </w:p>
    <w:p>
      <w:pPr>
        <w:pStyle w:val="Style7"/>
        <w:keepNext w:val="0"/>
        <w:keepLines w:val="0"/>
        <w:framePr w:w="10258" w:h="3312" w:wrap="none" w:vAnchor="text" w:hAnchor="page" w:x="1107" w:y="654"/>
        <w:widowControl w:val="0"/>
        <w:shd w:val="clear" w:color="auto" w:fill="auto"/>
        <w:bidi w:val="0"/>
        <w:spacing w:before="0" w:after="0" w:line="240" w:lineRule="auto"/>
        <w:ind w:left="0" w:right="0" w:firstLine="640"/>
        <w:jc w:val="left"/>
      </w:pPr>
      <w:r>
        <w:rPr>
          <w:color w:val="000000"/>
          <w:spacing w:val="0"/>
          <w:w w:val="100"/>
          <w:position w:val="0"/>
          <w:shd w:val="clear" w:color="auto" w:fill="auto"/>
          <w:lang w:val="ru-RU" w:eastAsia="ru-RU" w:bidi="ru-RU"/>
        </w:rPr>
        <w:t>Комиссия</w:t>
      </w:r>
    </w:p>
    <w:p>
      <w:pPr>
        <w:pStyle w:val="Style7"/>
        <w:keepNext w:val="0"/>
        <w:keepLines w:val="0"/>
        <w:framePr w:w="10258" w:h="3312" w:wrap="none" w:vAnchor="text" w:hAnchor="page" w:x="1107" w:y="6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Москве по контролю в сфере закупок товаров, работ, услуг (далее - Комиссия Управления) в составе:</w:t>
      </w:r>
    </w:p>
    <w:p>
      <w:pPr>
        <w:pStyle w:val="Style7"/>
        <w:keepNext w:val="0"/>
        <w:keepLines w:val="0"/>
        <w:framePr w:w="10258" w:h="3312" w:wrap="none" w:vAnchor="text" w:hAnchor="page" w:x="1107" w:y="654"/>
        <w:widowControl w:val="0"/>
        <w:shd w:val="clear" w:color="auto" w:fill="auto"/>
        <w:bidi w:val="0"/>
        <w:spacing w:before="0" w:after="0" w:line="240" w:lineRule="auto"/>
        <w:ind w:left="0" w:right="0" w:firstLine="680"/>
        <w:jc w:val="left"/>
      </w:pPr>
      <w:r>
        <w:rPr>
          <w:color w:val="000000"/>
          <w:spacing w:val="0"/>
          <w:w w:val="100"/>
          <w:position w:val="0"/>
          <w:shd w:val="clear" w:color="auto" w:fill="auto"/>
          <w:lang w:val="ru-RU" w:eastAsia="ru-RU" w:bidi="ru-RU"/>
        </w:rPr>
        <w:t>Председательствующего: Главного государственного инспектора обжалования государственных закупок Е.А. Мироновой,</w:t>
      </w:r>
    </w:p>
    <w:p>
      <w:pPr>
        <w:pStyle w:val="Style7"/>
        <w:keepNext w:val="0"/>
        <w:keepLines w:val="0"/>
        <w:framePr w:w="10258" w:h="3312" w:wrap="none" w:vAnchor="text" w:hAnchor="page" w:x="1107" w:y="654"/>
        <w:widowControl w:val="0"/>
        <w:shd w:val="clear" w:color="auto" w:fill="auto"/>
        <w:bidi w:val="0"/>
        <w:spacing w:before="0" w:after="0" w:line="240" w:lineRule="auto"/>
        <w:ind w:left="0" w:right="0" w:firstLine="640"/>
        <w:jc w:val="left"/>
      </w:pPr>
      <w:r>
        <w:rPr>
          <w:color w:val="000000"/>
          <w:spacing w:val="0"/>
          <w:w w:val="100"/>
          <w:position w:val="0"/>
          <w:shd w:val="clear" w:color="auto" w:fill="auto"/>
          <w:lang w:val="ru-RU" w:eastAsia="ru-RU" w:bidi="ru-RU"/>
        </w:rPr>
        <w:t>Членов Комиссии:</w:t>
      </w:r>
    </w:p>
    <w:p>
      <w:pPr>
        <w:pStyle w:val="Style7"/>
        <w:keepNext w:val="0"/>
        <w:keepLines w:val="0"/>
        <w:framePr w:w="10258" w:h="3312" w:wrap="none" w:vAnchor="text" w:hAnchor="page" w:x="1107" w:y="654"/>
        <w:widowControl w:val="0"/>
        <w:shd w:val="clear" w:color="auto" w:fill="auto"/>
        <w:bidi w:val="0"/>
        <w:spacing w:before="0" w:after="0" w:line="240" w:lineRule="auto"/>
        <w:ind w:left="0" w:right="0" w:firstLine="680"/>
        <w:jc w:val="left"/>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Н.А. Узкого,</w:t>
      </w:r>
    </w:p>
    <w:p>
      <w:pPr>
        <w:pStyle w:val="Style7"/>
        <w:keepNext w:val="0"/>
        <w:keepLines w:val="0"/>
        <w:framePr w:w="10258" w:h="3312" w:wrap="none" w:vAnchor="text" w:hAnchor="page" w:x="1107" w:y="654"/>
        <w:widowControl w:val="0"/>
        <w:shd w:val="clear" w:color="auto" w:fill="auto"/>
        <w:bidi w:val="0"/>
        <w:spacing w:before="0" w:after="0" w:line="240" w:lineRule="auto"/>
        <w:ind w:left="0" w:right="0" w:firstLine="680"/>
        <w:jc w:val="left"/>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А.А. Матюшенко,</w:t>
      </w:r>
    </w:p>
    <w:p>
      <w:pPr>
        <w:pStyle w:val="Style7"/>
        <w:keepNext w:val="0"/>
        <w:keepLines w:val="0"/>
        <w:framePr w:w="826" w:h="389" w:wrap="none" w:vAnchor="text" w:hAnchor="page" w:x="10544" w:y="162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отдела</w:t>
      </w:r>
    </w:p>
    <w:p>
      <w:pPr>
        <w:pStyle w:val="Style7"/>
        <w:keepNext w:val="0"/>
        <w:keepLines w:val="0"/>
        <w:framePr w:w="974" w:h="389" w:wrap="none" w:vAnchor="text" w:hAnchor="page" w:x="10390" w:y="2603"/>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p>
      <w:pPr>
        <w:pStyle w:val="Style7"/>
        <w:keepNext w:val="0"/>
        <w:keepLines w:val="0"/>
        <w:framePr w:w="970" w:h="389" w:wrap="none" w:vAnchor="text" w:hAnchor="page" w:x="10395" w:y="325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закупок</w:t>
      </w:r>
    </w:p>
    <w:p>
      <w:pPr>
        <w:pStyle w:val="Style7"/>
        <w:keepNext w:val="0"/>
        <w:keepLines w:val="0"/>
        <w:framePr w:w="10253" w:h="4603" w:wrap="none" w:vAnchor="text" w:hAnchor="page" w:x="1107" w:y="3971"/>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7"/>
        <w:keepNext w:val="0"/>
        <w:keepLines w:val="0"/>
        <w:framePr w:w="10253" w:h="4603" w:wrap="none" w:vAnchor="text" w:hAnchor="page" w:x="1107" w:y="3971"/>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 участии представителей: ООО «Ребус ит гроуп», ФГБУ «НИЦ «Курчатовский институт», ООО «Связьпроект»,</w:t>
      </w:r>
    </w:p>
    <w:p>
      <w:pPr>
        <w:pStyle w:val="Style7"/>
        <w:keepNext w:val="0"/>
        <w:keepLines w:val="0"/>
        <w:framePr w:w="10253" w:h="4603" w:wrap="none" w:vAnchor="text" w:hAnchor="page" w:x="1107" w:y="3971"/>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отсутствие представителей ООО «Ниагара Компьютерс», о времени и порядке заседания Комиссии Управления уведомленных надлежащим образом письмом Московского УФАС России № НП/29889/23 от 14.07.2023,</w:t>
      </w:r>
    </w:p>
    <w:p>
      <w:pPr>
        <w:pStyle w:val="Style7"/>
        <w:keepNext w:val="0"/>
        <w:keepLines w:val="0"/>
        <w:framePr w:w="10253" w:h="4603" w:wrap="none" w:vAnchor="text" w:hAnchor="page" w:x="1107" w:y="3971"/>
        <w:widowControl w:val="0"/>
        <w:shd w:val="clear" w:color="auto" w:fill="auto"/>
        <w:bidi w:val="0"/>
        <w:spacing w:before="0" w:after="200" w:line="240" w:lineRule="auto"/>
        <w:ind w:left="0" w:right="0" w:firstLine="680"/>
        <w:jc w:val="both"/>
      </w:pPr>
      <w:r>
        <w:rPr>
          <w:color w:val="000000"/>
          <w:spacing w:val="0"/>
          <w:w w:val="100"/>
          <w:position w:val="0"/>
          <w:shd w:val="clear" w:color="auto" w:fill="auto"/>
          <w:lang w:val="ru-RU" w:eastAsia="ru-RU" w:bidi="ru-RU"/>
        </w:rPr>
        <w:t>рассмотрев жалобу ООО «Связьпроект» (далее — Заявитель) на действия</w:t>
      </w:r>
    </w:p>
    <w:p>
      <w:pPr>
        <w:pStyle w:val="Style12"/>
        <w:keepNext/>
        <w:keepLines/>
        <w:framePr w:w="10253" w:h="4603" w:wrap="none" w:vAnchor="text" w:hAnchor="page" w:x="1107" w:y="3971"/>
        <w:widowControl w:val="0"/>
        <w:shd w:val="clear" w:color="auto" w:fill="auto"/>
        <w:bidi w:val="0"/>
        <w:spacing w:before="0" w:after="0" w:line="240" w:lineRule="auto"/>
        <w:ind w:left="0" w:right="0"/>
        <w:jc w:val="left"/>
      </w:pPr>
      <w:bookmarkStart w:id="4" w:name="bookmark4"/>
      <w:r>
        <w:rPr>
          <w:color w:val="000000"/>
          <w:spacing w:val="0"/>
          <w:w w:val="100"/>
          <w:position w:val="0"/>
          <w:shd w:val="clear" w:color="auto" w:fill="auto"/>
          <w:lang w:val="ru-RU" w:eastAsia="ru-RU" w:bidi="ru-RU"/>
        </w:rPr>
        <w:t>||||||||||||||||||||||||||||</w:t>
      </w:r>
      <w:bookmarkEnd w:id="4"/>
    </w:p>
    <w:p>
      <w:pPr>
        <w:pStyle w:val="Style14"/>
        <w:keepNext w:val="0"/>
        <w:keepLines w:val="0"/>
        <w:framePr w:w="10253" w:h="4603" w:wrap="none" w:vAnchor="text" w:hAnchor="page" w:x="1107" w:y="3971"/>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2023-34927</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2" w:line="1" w:lineRule="exact"/>
      </w:pPr>
    </w:p>
    <w:p>
      <w:pPr>
        <w:widowControl w:val="0"/>
        <w:spacing w:line="1" w:lineRule="exact"/>
        <w:sectPr>
          <w:footnotePr>
            <w:pos w:val="pageBottom"/>
            <w:numFmt w:val="decimal"/>
            <w:numRestart w:val="continuous"/>
          </w:footnotePr>
          <w:type w:val="continuous"/>
          <w:pgSz w:w="11900" w:h="16840"/>
          <w:pgMar w:top="294" w:right="532" w:bottom="238" w:left="1106" w:header="0" w:footer="3" w:gutter="0"/>
          <w:cols w:space="720"/>
          <w:noEndnote/>
          <w:rtlGutter w:val="0"/>
          <w:docGrid w:linePitch="360"/>
        </w:sectPr>
      </w:pPr>
    </w:p>
    <w:p>
      <w:pPr>
        <w:pStyle w:val="Style7"/>
        <w:keepNext w:val="0"/>
        <w:keepLines w:val="0"/>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ru-RU" w:eastAsia="ru-RU" w:bidi="ru-RU"/>
        </w:rPr>
        <w:t>ФГБУ «НИЦ «Курчатовский институт» (далее — Заказчик) при проведении электронного аукциона на право заключения государственного контракта на поставку коммутатора (Закупка № 0373100001023000334) (далее - электронный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keepLines/>
        <w:widowControl w:val="0"/>
        <w:shd w:val="clear" w:color="auto" w:fill="auto"/>
        <w:bidi w:val="0"/>
        <w:spacing w:before="0" w:after="300" w:line="240" w:lineRule="auto"/>
        <w:ind w:left="0" w:right="0" w:firstLine="0"/>
        <w:jc w:val="center"/>
      </w:pPr>
      <w:bookmarkStart w:id="6" w:name="bookmark6"/>
      <w:r>
        <w:rPr>
          <w:color w:val="000000"/>
          <w:spacing w:val="0"/>
          <w:w w:val="100"/>
          <w:position w:val="0"/>
          <w:shd w:val="clear" w:color="auto" w:fill="auto"/>
          <w:lang w:val="ru-RU" w:eastAsia="ru-RU" w:bidi="ru-RU"/>
        </w:rPr>
        <w:t>УСТАНОВИЛА:</w:t>
      </w:r>
      <w:bookmarkEnd w:id="6"/>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w:t>
      </w:r>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 №НП/29889/23 от 14.07.2023, Комиссия Управления установила следующее.</w:t>
      </w:r>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выразившиеся в неправомерном, по мнению Заявителя, применении ограничений, предусмотренных положениями Постановления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(далее — постановление №878), повлекшим за собой отклонение заявки Заявителя.</w:t>
      </w:r>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11.07.2023 №ИЭА1 на участие в аукционе было подано 3 заявки с идентификационными номерами 29,42,75, при этом заявки участников закупки с идентификационными номерами 29,42 были признаны комиссией по осуществлению закупок Заказчика соответствующими, а заявка участника закупки ООО «Связьпроект», с идентификационным номером 75, отклонена на следующем основании: «</w:t>
      </w:r>
      <w:r>
        <w:rPr>
          <w:i/>
          <w:iCs/>
          <w:color w:val="000000"/>
          <w:spacing w:val="0"/>
          <w:w w:val="100"/>
          <w:position w:val="0"/>
          <w:shd w:val="clear" w:color="auto" w:fill="auto"/>
          <w:lang w:val="ru-RU" w:eastAsia="ru-RU" w:bidi="ru-RU"/>
        </w:rPr>
        <w:t xml:space="preserve">(п.4 ч.12 ст. 48) - на основании НПА, принятыми в соответствии со ст. 14 Закона 44-ФЗ (Заявка подлежит отклонению на основании п. 4 ч. 12 ст. 48 Федерального закона № 44-ФЗ в соответствии с пунктом 3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установлено, что при осуществлении закупок радиоэлектронной продукции, включенной в перечень, за исключением установленного пунктом 3(1) постановления № 878 случая, заказчик отклоняет все заявки, содержащие предложения о поставке радиоэлектронной продукции, происходящей из иностранных государств (за </w:t>
      </w:r>
      <w:r>
        <w:rPr>
          <w:i/>
          <w:iCs/>
          <w:color w:val="000000"/>
          <w:spacing w:val="0"/>
          <w:w w:val="100"/>
          <w:position w:val="0"/>
          <w:shd w:val="clear" w:color="auto" w:fill="auto"/>
          <w:lang w:val="ru-RU" w:eastAsia="ru-RU" w:bidi="ru-RU"/>
        </w:rPr>
        <w:t>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 а именно: Участником в составе заявки не представлена информация о наличии сведений в реестре или евразийском реестре промышленных товаров государств - членов Евразийского экономического союза, при этом подано более 1 заявки удовлетворяющие требованиям извещения об осуществлении закупки</w:t>
      </w:r>
      <w:r>
        <w:rPr>
          <w:color w:val="000000"/>
          <w:spacing w:val="0"/>
          <w:w w:val="100"/>
          <w:position w:val="0"/>
          <w:shd w:val="clear" w:color="auto" w:fill="auto"/>
          <w:lang w:val="ru-RU" w:eastAsia="ru-RU" w:bidi="ru-RU"/>
        </w:rPr>
        <w:t>».</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Абз.4 п.2 Постановления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Заказчиком закупается оборудование «Коммутатор», при этом в составе извещения Заказчиком указано на соответствие закупаемого оборудования коду по общероссийскому классификатору продукции по видам экономической деятельности (деле — ОКПД2) 26.30.11.110 «Средства связи, выполняющие функцию систем коммутации» который включен в Перечень, установленный положениями Постановления №878.</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Также Комиссией Управления установлено, что, согласно извещению о проведении электронного аукциона, Заказчиком установлены ограничения, предусмотренные положениями Постановления №878.</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П.3 Постановления №878 установлено, что при осуществлении закупок радиоэлектронной продукции, включенной в перечень, за исключением установленного п.3(1) Постановления №878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П.3(2) Постановления №878 установлено, что, за исключением случаев, установленных Постановлением №878:</w:t>
      </w:r>
    </w:p>
    <w:p>
      <w:pPr>
        <w:pStyle w:val="Style7"/>
        <w:keepNext w:val="0"/>
        <w:keepLines w:val="0"/>
        <w:widowControl w:val="0"/>
        <w:numPr>
          <w:ilvl w:val="0"/>
          <w:numId w:val="1"/>
        </w:numPr>
        <w:shd w:val="clear" w:color="auto" w:fill="auto"/>
        <w:tabs>
          <w:tab w:pos="1421"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7"/>
        <w:keepNext w:val="0"/>
        <w:keepLines w:val="0"/>
        <w:widowControl w:val="0"/>
        <w:numPr>
          <w:ilvl w:val="0"/>
          <w:numId w:val="1"/>
        </w:numPr>
        <w:shd w:val="clear" w:color="auto" w:fill="auto"/>
        <w:tabs>
          <w:tab w:pos="1421"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П.3(3) Постановления №878 установлено, что для подтверждения соответствия радиоэлектронной продукции требованиям, предусмотренным п.3(2) Постановления №878,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w:t>
      </w:r>
      <w:r>
        <w:rPr>
          <w:color w:val="000000"/>
          <w:spacing w:val="0"/>
          <w:w w:val="100"/>
          <w:position w:val="0"/>
          <w:shd w:val="clear" w:color="auto" w:fill="auto"/>
          <w:lang w:val="ru-RU" w:eastAsia="ru-RU" w:bidi="ru-RU"/>
        </w:rPr>
        <w:t>радиоэлектронной продукции - также сведения о первом уровне радиоэлектронной продукции.</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этим в электронном документе «Требования к содержанию, составу заявки на участие в закупке, инструкция по ее заполнению» Заказчиком установлены в том числе следующие требования к составу заявки на участие в аукционе: «</w:t>
      </w:r>
      <w:r>
        <w:rPr>
          <w:i/>
          <w:iCs/>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 частями 3 и 4 статьи 14 Федерального закона № 44-ФЗ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 установлено</w:t>
      </w:r>
      <w:r>
        <w:rPr>
          <w:color w:val="000000"/>
          <w:spacing w:val="0"/>
          <w:w w:val="100"/>
          <w:position w:val="0"/>
          <w:shd w:val="clear" w:color="auto" w:fill="auto"/>
          <w:lang w:val="ru-RU" w:eastAsia="ru-RU" w:bidi="ru-RU"/>
        </w:rPr>
        <w:t xml:space="preserve"> ».</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Комиссией Управления установлено, что в составе заявок участников закупки с идентификационным номером 29, 42 представлены сведения о номерах </w:t>
      </w:r>
      <w:r>
        <w:rPr>
          <w:color w:val="000000"/>
          <w:spacing w:val="0"/>
          <w:w w:val="100"/>
          <w:position w:val="0"/>
          <w:shd w:val="clear" w:color="auto" w:fill="auto"/>
          <w:lang w:val="ru-RU" w:eastAsia="ru-RU" w:bidi="ru-RU"/>
        </w:rPr>
        <w:t>реестровых записей ТКО-872/23, на товар «Коммутатор ЕЛКегпе! С84148^-8^ ФВМТ.465616.001», ТКО-787/22, на товар «ЕТНЕКЖТ С82100 модель С82148Р- ■II) ФВМТ.465255.020».</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При этом Комиссией Управления также установлено, что в составе Заявки Заявителя представлен к поставке товар иностранного производства.</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рамках данной закупочной процедуры соблюдаются условия, указанные в п.3 Постановления №878, ввиду чего заявка Заявителя была отклонена в соответствии с установленными ограничениями.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в реестре российской радиоэлектронной продукции (далее - Реестр) отсутствуют товары, соответствующие совокупности требований извещения, таким образом участниками закупки представлены номера реестровых записей из Реестра, не соответствующие предложенному к поставке товару, ввиду чего комиссии по осуществлению закупок надлежало не учитывать данные сведения.</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При этом Заявитель также указывает, что наиболее соответствующая модель товара, сведения о которой присутствует в Реестре, «()В^-6900-561.1</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 а также товар «Коммутатор В4Сот С84148^-8^», согласно сведениям с веб-сайтов поставщиков, размещенных в телекоммуникационной сети «Интернет», не соответствуют требованиям извещения.</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Комиссия Управления отмечает, что данные, указанные на сайтах поставщиков не всегда являются корректными, поскольку информация распространяемая в рекламных и маркетинговых целях — коммерческие предложения, рекламные буклеты, веб-сайт, СМИ и подобные — носит общий информационно-ознакомительный характер и не может ограничивать технические параметры продукции производителя оборудования, кроме того производители, </w:t>
      </w:r>
      <w:r>
        <w:rPr>
          <w:color w:val="000000"/>
          <w:spacing w:val="0"/>
          <w:w w:val="100"/>
          <w:position w:val="0"/>
          <w:shd w:val="clear" w:color="auto" w:fill="auto"/>
          <w:lang w:val="ru-RU" w:eastAsia="ru-RU" w:bidi="ru-RU"/>
        </w:rPr>
        <w:t>поставщики оборудования не обязаны опубликовывать информацию о всех модификациях всего производимого оборудования, ввиду чего сведения с веб-сайта поставщика товара, не подтвержденные иными документами, априори не могут считаться исчерпывающими.</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Вместе с этим какого-либо документального подтверждения несоответствия товаров, соответствующих реестровым записям, указанным в составе заявок участников закупки, на заседании Комиссии Управления не представлено, ввиду чего доводы Заявителя, в части несоответствия представленных участниками закупки реестровых записей предложенным к поставе товарам не могут быть приняты Комиссией Управления.</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Одновременно с этим Комиссией Управления установлено, что сведения о реестровых записях ТКО-787/22, ТКО-872/23, представленные в составе заявок участников закупки, содержатся в реестре.</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Комиссия Управления приходит к выводу, что в рамках данной закупочной процедуры соблюдаются условия, предусмотренные п.3 Постановления №878, ввиду наличия среди предложений участников закупки предложения о поставке товара, страна производства которого подтверждена в соответствии с требованиями Постановления №878.</w:t>
      </w:r>
    </w:p>
    <w:p>
      <w:pPr>
        <w:pStyle w:val="Style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7"/>
        <w:keepNext w:val="0"/>
        <w:keepLines w:val="0"/>
        <w:widowControl w:val="0"/>
        <w:numPr>
          <w:ilvl w:val="0"/>
          <w:numId w:val="3"/>
        </w:numPr>
        <w:shd w:val="clear" w:color="auto" w:fill="auto"/>
        <w:tabs>
          <w:tab w:pos="989"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3"/>
        </w:numPr>
        <w:shd w:val="clear" w:color="auto" w:fill="auto"/>
        <w:tabs>
          <w:tab w:pos="989"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3"/>
        </w:numPr>
        <w:shd w:val="clear" w:color="auto" w:fill="auto"/>
        <w:tabs>
          <w:tab w:pos="989"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7"/>
        <w:keepNext w:val="0"/>
        <w:keepLines w:val="0"/>
        <w:widowControl w:val="0"/>
        <w:numPr>
          <w:ilvl w:val="0"/>
          <w:numId w:val="3"/>
        </w:numPr>
        <w:shd w:val="clear" w:color="auto" w:fill="auto"/>
        <w:tabs>
          <w:tab w:pos="989"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7"/>
        <w:keepNext w:val="0"/>
        <w:keepLines w:val="0"/>
        <w:widowControl w:val="0"/>
        <w:numPr>
          <w:ilvl w:val="0"/>
          <w:numId w:val="3"/>
        </w:numPr>
        <w:shd w:val="clear" w:color="auto" w:fill="auto"/>
        <w:tabs>
          <w:tab w:pos="989" w:val="left"/>
        </w:tabs>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w:t>
      </w:r>
      <w:r>
        <w:rPr>
          <w:color w:val="000000"/>
          <w:spacing w:val="0"/>
          <w:w w:val="100"/>
          <w:position w:val="0"/>
          <w:shd w:val="clear" w:color="auto" w:fill="auto"/>
          <w:lang w:val="ru-RU" w:eastAsia="ru-RU" w:bidi="ru-RU"/>
        </w:rPr>
        <w:t>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7"/>
        <w:keepNext w:val="0"/>
        <w:keepLines w:val="0"/>
        <w:widowControl w:val="0"/>
        <w:numPr>
          <w:ilvl w:val="0"/>
          <w:numId w:val="3"/>
        </w:numPr>
        <w:shd w:val="clear" w:color="auto" w:fill="auto"/>
        <w:tabs>
          <w:tab w:pos="1039"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п.4 ст.2 Федерального закона от 4 июня 2018 года К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7"/>
        <w:keepNext w:val="0"/>
        <w:keepLines w:val="0"/>
        <w:widowControl w:val="0"/>
        <w:numPr>
          <w:ilvl w:val="0"/>
          <w:numId w:val="3"/>
        </w:numPr>
        <w:shd w:val="clear" w:color="auto" w:fill="auto"/>
        <w:tabs>
          <w:tab w:pos="1649"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7"/>
        <w:keepNext w:val="0"/>
        <w:keepLines w:val="0"/>
        <w:widowControl w:val="0"/>
        <w:numPr>
          <w:ilvl w:val="0"/>
          <w:numId w:val="3"/>
        </w:numPr>
        <w:shd w:val="clear" w:color="auto" w:fill="auto"/>
        <w:tabs>
          <w:tab w:pos="1039"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7"/>
        <w:keepNext w:val="0"/>
        <w:keepLines w:val="0"/>
        <w:widowControl w:val="0"/>
        <w:numPr>
          <w:ilvl w:val="0"/>
          <w:numId w:val="3"/>
        </w:numPr>
        <w:shd w:val="clear" w:color="auto" w:fill="auto"/>
        <w:tabs>
          <w:tab w:pos="1039" w:val="left"/>
        </w:tabs>
        <w:bidi w:val="0"/>
        <w:spacing w:before="0" w:after="0" w:line="240" w:lineRule="auto"/>
        <w:ind w:left="0" w:right="0" w:firstLine="66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по осуществлению закупок Заказчика имелись основания для отклонения заявки Заявителя, и что решение комиссии по осуществлению закупок Заказчика об отклонении заявки ООО «Связьпроект» является правомерным.</w:t>
      </w:r>
    </w:p>
    <w:p>
      <w:pPr>
        <w:pStyle w:val="Style7"/>
        <w:keepNext w:val="0"/>
        <w:keepLines w:val="0"/>
        <w:widowControl w:val="0"/>
        <w:shd w:val="clear" w:color="auto" w:fill="auto"/>
        <w:bidi w:val="0"/>
        <w:spacing w:before="0" w:after="0" w:line="240" w:lineRule="auto"/>
        <w:ind w:left="0" w:right="0" w:firstLine="660"/>
        <w:jc w:val="both"/>
        <w:sectPr>
          <w:headerReference w:type="default" r:id="rId7"/>
          <w:footerReference w:type="default" r:id="rId8"/>
          <w:footnotePr>
            <w:pos w:val="pageBottom"/>
            <w:numFmt w:val="decimal"/>
            <w:numRestart w:val="continuous"/>
          </w:footnotePr>
          <w:pgSz w:w="11900" w:h="16840"/>
          <w:pgMar w:top="1153" w:right="530" w:bottom="1316" w:left="1084"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0"/>
        <w:keepNext/>
        <w:keepLines/>
        <w:widowControl w:val="0"/>
        <w:shd w:val="clear" w:color="auto" w:fill="auto"/>
        <w:bidi w:val="0"/>
        <w:spacing w:before="0" w:after="300" w:line="240" w:lineRule="auto"/>
        <w:ind w:left="0" w:right="0" w:firstLine="0"/>
        <w:jc w:val="center"/>
      </w:pPr>
      <w:bookmarkStart w:id="8" w:name="bookmark8"/>
      <w:r>
        <w:rPr>
          <w:color w:val="000000"/>
          <w:spacing w:val="0"/>
          <w:w w:val="100"/>
          <w:position w:val="0"/>
          <w:shd w:val="clear" w:color="auto" w:fill="auto"/>
          <w:lang w:val="ru-RU" w:eastAsia="ru-RU" w:bidi="ru-RU"/>
        </w:rPr>
        <w:t>Р Е Ш И Л А:</w:t>
      </w:r>
      <w:bookmarkEnd w:id="8"/>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1. Признать жалобу ООО «Связьпроект» на действия комиссии по осуществлению закупок ФГБУ «НИЦ «Курчатовский институт» необоснованной.</w:t>
      </w:r>
    </w:p>
    <w:p>
      <w:pPr>
        <w:pStyle w:val="Style7"/>
        <w:keepNext w:val="0"/>
        <w:keepLines w:val="0"/>
        <w:widowControl w:val="0"/>
        <w:shd w:val="clear" w:color="auto" w:fill="auto"/>
        <w:bidi w:val="0"/>
        <w:spacing w:before="0" w:after="300" w:line="240" w:lineRule="auto"/>
        <w:ind w:left="0" w:right="0" w:firstLine="68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письмом Московского УФАС России (№НП/29889/23 от 14.07.2023).</w:t>
      </w:r>
    </w:p>
    <w:p>
      <w:pPr>
        <w:pStyle w:val="Style7"/>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3" w:right="536" w:bottom="1993" w:left="1106" w:header="0" w:footer="3" w:gutter="0"/>
          <w:cols w:space="720"/>
          <w:noEndnote/>
          <w:rtlGutter w:val="0"/>
          <w:docGrid w:linePitch="360"/>
        </w:sectPr>
      </w:pPr>
      <w:r>
        <mc:AlternateContent>
          <mc:Choice Requires="wps">
            <w:drawing>
              <wp:anchor distT="127000" distB="207010" distL="0" distR="0" simplePos="0" relativeHeight="125829378" behindDoc="0" locked="0" layoutInCell="1" allowOverlap="1">
                <wp:simplePos x="0" y="0"/>
                <wp:positionH relativeFrom="page">
                  <wp:posOffset>735965</wp:posOffset>
                </wp:positionH>
                <wp:positionV relativeFrom="paragraph">
                  <wp:posOffset>127000</wp:posOffset>
                </wp:positionV>
                <wp:extent cx="1896110" cy="247015"/>
                <wp:wrapTopAndBottom/>
                <wp:docPr id="7" name="Shape 7"/>
                <a:graphic xmlns:a="http://schemas.openxmlformats.org/drawingml/2006/main">
                  <a:graphicData uri="http://schemas.microsoft.com/office/word/2010/wordprocessingShape">
                    <wps:wsp>
                      <wps:cNvSpPr txBox="1"/>
                      <wps:spPr>
                        <a:xfrm>
                          <a:ext cx="1896110" cy="24701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3" type="#_x0000_t202" style="position:absolute;margin-left:57.950000000000003pt;margin-top:10.pt;width:149.30000000000001pt;height:19.449999999999999pt;z-index:-125829375;mso-wrap-distance-left:0;mso-wrap-distance-top:10.pt;mso-wrap-distance-right:0;mso-wrap-distance-bottom:16.30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21615" distB="0" distL="0" distR="1807210" simplePos="0" relativeHeight="125829380" behindDoc="0" locked="0" layoutInCell="1" allowOverlap="1">
            <wp:simplePos x="0" y="0"/>
            <wp:positionH relativeFrom="page">
              <wp:posOffset>3131820</wp:posOffset>
            </wp:positionH>
            <wp:positionV relativeFrom="paragraph">
              <wp:posOffset>221615</wp:posOffset>
            </wp:positionV>
            <wp:extent cx="311150" cy="35941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291465</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77.55000000000001pt;margin-top:22.949999999999999pt;width:135.84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7010" distL="0" distR="0" simplePos="0" relativeHeight="125829381" behindDoc="0" locked="0" layoutInCell="1" allowOverlap="1">
                <wp:simplePos x="0" y="0"/>
                <wp:positionH relativeFrom="page">
                  <wp:posOffset>6039485</wp:posOffset>
                </wp:positionH>
                <wp:positionV relativeFrom="paragraph">
                  <wp:posOffset>127000</wp:posOffset>
                </wp:positionV>
                <wp:extent cx="1182370" cy="247015"/>
                <wp:wrapTopAndBottom/>
                <wp:docPr id="13" name="Shape 13"/>
                <a:graphic xmlns:a="http://schemas.openxmlformats.org/drawingml/2006/main">
                  <a:graphicData uri="http://schemas.microsoft.com/office/word/2010/wordprocessingShape">
                    <wps:wsp>
                      <wps:cNvSpPr txBox="1"/>
                      <wps:spPr>
                        <a:xfrm>
                          <a:ext cx="1182370" cy="24701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39" type="#_x0000_t202" style="position:absolute;margin-left:475.55000000000001pt;margin-top:10.pt;width:93.100000000000009pt;height:19.449999999999999pt;z-index:-125829372;mso-wrap-distance-left:0;mso-wrap-distance-top:10.pt;mso-wrap-distance-right:0;mso-wrap-distance-bottom:16.30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E8E8E8"/>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3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color w:val="3C3C3C"/>
          <w:spacing w:val="0"/>
          <w:w w:val="100"/>
          <w:position w:val="0"/>
          <w:shd w:val="clear" w:color="auto" w:fill="auto"/>
          <w:lang w:val="ru-RU" w:eastAsia="ru-RU" w:bidi="ru-RU"/>
        </w:rPr>
        <w:t>00Е9СЕАА6ОП6САО20О424А9502ЕС296Е8</w:t>
      </w:r>
      <w:r>
        <w:rPr>
          <w:color w:val="3C3C3C"/>
          <w:spacing w:val="0"/>
          <w:w w:val="100"/>
          <w:position w:val="0"/>
          <w:shd w:val="clear" w:color="auto" w:fill="auto"/>
          <w:lang w:val="ru-RU" w:eastAsia="ru-RU" w:bidi="ru-RU"/>
        </w:rPr>
        <w:t>1</w:t>
      </w:r>
    </w:p>
    <w:p>
      <w:pPr>
        <w:pStyle w:val="Style30"/>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C3C3C"/>
          <w:spacing w:val="0"/>
          <w:w w:val="100"/>
          <w:position w:val="0"/>
          <w:shd w:val="clear" w:color="auto" w:fill="auto"/>
          <w:lang w:val="ru-RU" w:eastAsia="ru-RU" w:bidi="ru-RU"/>
        </w:rPr>
        <w:t xml:space="preserve">22.12.2022 </w:t>
      </w:r>
      <w:r>
        <w:rPr>
          <w:spacing w:val="0"/>
          <w:w w:val="100"/>
          <w:position w:val="0"/>
          <w:shd w:val="clear" w:color="auto" w:fill="auto"/>
          <w:lang w:val="ru-RU" w:eastAsia="ru-RU" w:bidi="ru-RU"/>
        </w:rPr>
        <w:t>по 16.03.2024</w:t>
      </w:r>
    </w:p>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640" w:line="240" w:lineRule="auto"/>
        <w:ind w:left="0" w:right="0" w:firstLine="820"/>
        <w:jc w:val="left"/>
      </w:pPr>
      <w:r>
        <w:drawing>
          <wp:anchor distT="0" distB="0" distL="114300" distR="1903730" simplePos="0" relativeHeight="125829383" behindDoc="0" locked="0" layoutInCell="1" allowOverlap="1">
            <wp:simplePos x="0" y="0"/>
            <wp:positionH relativeFrom="page">
              <wp:posOffset>3107055</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3570605</wp:posOffset>
                </wp:positionH>
                <wp:positionV relativeFrom="paragraph">
                  <wp:posOffset>466090</wp:posOffset>
                </wp:positionV>
                <wp:extent cx="1280160" cy="103505"/>
                <wp:wrapNone/>
                <wp:docPr id="17" name="Shape 1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3" type="#_x0000_t202" style="position:absolute;margin-left:281.15000000000003pt;margin-top:36.700000000000003pt;width:100.8pt;height:8.1500000000000004pt;z-index:251657731;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154940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55000000000001pt;margin-top:12.200000000000001pt;width:135.84999999999999pt;height:20.150000000000002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30"/>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30"/>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C3C3C"/>
          <w:spacing w:val="0"/>
          <w:w w:val="100"/>
          <w:position w:val="0"/>
          <w:shd w:val="clear" w:color="auto" w:fill="auto"/>
          <w:lang w:val="ru-RU" w:eastAsia="ru-RU" w:bidi="ru-RU"/>
        </w:rPr>
        <w:t>44СЕО19О689ЕВ23598ВССВЕ99Е1С6Е2С</w:t>
      </w:r>
    </w:p>
    <w:p>
      <w:pPr>
        <w:pStyle w:val="Style30"/>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Действителен с 10.04.2023 по 03.07.2024</w:t>
      </w:r>
    </w:p>
    <w:p>
      <w:pPr>
        <w:pStyle w:val="Style7"/>
        <w:keepNext w:val="0"/>
        <w:keepLines w:val="0"/>
        <w:widowControl w:val="0"/>
        <w:shd w:val="clear" w:color="auto" w:fill="auto"/>
        <w:bidi w:val="0"/>
        <w:spacing w:before="0" w:after="390" w:line="240" w:lineRule="auto"/>
        <w:ind w:left="1560" w:right="0" w:firstLine="0"/>
        <w:jc w:val="left"/>
      </w:pPr>
      <w:r>
        <w:drawing>
          <wp:anchor distT="0" distB="0" distL="114300" distR="1903730" simplePos="0" relativeHeight="125829384" behindDoc="0" locked="0" layoutInCell="1" allowOverlap="1">
            <wp:simplePos x="0" y="0"/>
            <wp:positionH relativeFrom="page">
              <wp:posOffset>3107055</wp:posOffset>
            </wp:positionH>
            <wp:positionV relativeFrom="paragraph">
              <wp:posOffset>63500</wp:posOffset>
            </wp:positionV>
            <wp:extent cx="353695" cy="40259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3695" cy="4025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154940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5000000000001pt;margin-top:12.200000000000001pt;width:135.84999999999999pt;height:20.15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30"/>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00СС5А1А1</w:t>
      </w:r>
      <w:r>
        <w:rPr>
          <w:color w:val="272727"/>
          <w:spacing w:val="0"/>
          <w:w w:val="100"/>
          <w:position w:val="0"/>
          <w:shd w:val="clear" w:color="auto" w:fill="auto"/>
          <w:lang w:val="ru-RU" w:eastAsia="ru-RU" w:bidi="ru-RU"/>
        </w:rPr>
        <w:t>С3030775Е8423Р1</w:t>
      </w:r>
      <w:r>
        <w:rPr>
          <w:spacing w:val="0"/>
          <w:w w:val="100"/>
          <w:position w:val="0"/>
          <w:shd w:val="clear" w:color="auto" w:fill="auto"/>
          <w:lang w:val="ru-RU" w:eastAsia="ru-RU" w:bidi="ru-RU"/>
        </w:rPr>
        <w:t>1867182162</w:t>
      </w:r>
    </w:p>
    <w:p>
      <w:pPr>
        <w:pStyle w:val="Style30"/>
        <w:keepNext w:val="0"/>
        <w:keepLines w:val="0"/>
        <w:widowControl w:val="0"/>
        <w:shd w:val="clear" w:color="auto" w:fill="auto"/>
        <w:bidi w:val="0"/>
        <w:spacing w:before="0" w:after="384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24.01.2023 по 18.04.2024</w:t>
      </w:r>
    </w:p>
    <w:p>
      <w:pPr>
        <w:pStyle w:val="Style1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1153" w:right="536" w:bottom="115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730885</wp:posOffset>
              </wp:positionH>
              <wp:positionV relativeFrom="page">
                <wp:posOffset>10086340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2023-34927</w:t>
                          </w:r>
                        </w:p>
                      </w:txbxContent>
                    </wps:txbx>
                    <wps:bodyPr wrap="none" lIns="0" tIns="0" rIns="0" bIns="0">
                      <a:spAutoFit/>
                    </wps:bodyPr>
                  </wps:wsp>
                </a:graphicData>
              </a:graphic>
            </wp:anchor>
          </w:drawing>
        </mc:Choice>
        <mc:Fallback>
          <w:pict>
            <v:shape id="_x0000_s1031" type="#_x0000_t202" style="position:absolute;margin-left:57.550000000000004pt;margin-top:794.2000000000000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2023-34927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3931285</wp:posOffset>
              </wp:positionH>
              <wp:positionV relativeFrom="page">
                <wp:posOffset>469900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55000000000001pt;margin-top:37.pt;width:5.0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15EA4"/>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Заголовок №2_"/>
    <w:basedOn w:val="DefaultParagraphFont"/>
    <w:link w:val="Style10"/>
    <w:rPr>
      <w:rFonts w:ascii="Times New Roman" w:eastAsia="Times New Roman" w:hAnsi="Times New Roman" w:cs="Times New Roman"/>
      <w:b/>
      <w:bCs/>
      <w:i w:val="0"/>
      <w:iCs w:val="0"/>
      <w:smallCaps w:val="0"/>
      <w:strike w:val="0"/>
      <w:sz w:val="28"/>
      <w:szCs w:val="28"/>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8"/>
      <w:szCs w:val="38"/>
      <w:u w:val="none"/>
    </w:rPr>
  </w:style>
  <w:style w:type="character" w:customStyle="1" w:styleId="CharStyle15">
    <w:name w:val="Основной текст (5)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8">
    <w:name w:val="Основной текст (4)_"/>
    <w:basedOn w:val="DefaultParagraphFont"/>
    <w:link w:val="Style27"/>
    <w:rPr>
      <w:rFonts w:ascii="Georgia" w:eastAsia="Georgia" w:hAnsi="Georgia" w:cs="Georgia"/>
      <w:b w:val="0"/>
      <w:bCs w:val="0"/>
      <w:i w:val="0"/>
      <w:iCs w:val="0"/>
      <w:smallCaps w:val="0"/>
      <w:strike w:val="0"/>
      <w:color w:val="EBEBEB"/>
      <w:sz w:val="12"/>
      <w:szCs w:val="1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636363"/>
      <w:sz w:val="12"/>
      <w:szCs w:val="12"/>
      <w:u w:val="none"/>
    </w:rPr>
  </w:style>
  <w:style w:type="paragraph" w:customStyle="1" w:styleId="Style2">
    <w:name w:val="Основной текст (3)"/>
    <w:basedOn w:val="Normal"/>
    <w:link w:val="CharStyle3"/>
    <w:pPr>
      <w:widowControl w:val="0"/>
      <w:shd w:val="clear" w:color="auto" w:fill="auto"/>
      <w:spacing w:line="276" w:lineRule="auto"/>
      <w:ind w:firstLine="660"/>
    </w:pPr>
    <w:rPr>
      <w:rFonts w:ascii="Times New Roman" w:eastAsia="Times New Roman" w:hAnsi="Times New Roman" w:cs="Times New Roman"/>
      <w:b w:val="0"/>
      <w:bCs w:val="0"/>
      <w:i w:val="0"/>
      <w:iCs w:val="0"/>
      <w:smallCaps w:val="0"/>
      <w:strike w:val="0"/>
      <w:color w:val="415EA4"/>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Заголовок №2"/>
    <w:basedOn w:val="Normal"/>
    <w:link w:val="CharStyle11"/>
    <w:pPr>
      <w:widowControl w:val="0"/>
      <w:shd w:val="clear" w:color="auto" w:fill="auto"/>
      <w:spacing w:after="15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2">
    <w:name w:val="Заголовок №1"/>
    <w:basedOn w:val="Normal"/>
    <w:link w:val="CharStyle13"/>
    <w:pPr>
      <w:widowControl w:val="0"/>
      <w:shd w:val="clear" w:color="auto" w:fill="auto"/>
      <w:ind w:firstLine="360"/>
      <w:outlineLvl w:val="0"/>
    </w:pPr>
    <w:rPr>
      <w:rFonts w:ascii="Arial" w:eastAsia="Arial" w:hAnsi="Arial" w:cs="Arial"/>
      <w:b w:val="0"/>
      <w:bCs w:val="0"/>
      <w:i w:val="0"/>
      <w:iCs w:val="0"/>
      <w:smallCaps w:val="0"/>
      <w:strike w:val="0"/>
      <w:sz w:val="38"/>
      <w:szCs w:val="38"/>
      <w:u w:val="none"/>
    </w:rPr>
  </w:style>
  <w:style w:type="paragraph" w:customStyle="1" w:styleId="Style14">
    <w:name w:val="Основной текст (5)"/>
    <w:basedOn w:val="Normal"/>
    <w:link w:val="CharStyle15"/>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Подпись к картинке"/>
    <w:basedOn w:val="Normal"/>
    <w:link w:val="CharStyle2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7">
    <w:name w:val="Основной текст (4)"/>
    <w:basedOn w:val="Normal"/>
    <w:link w:val="CharStyle28"/>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30">
    <w:name w:val="Основной текст (2)"/>
    <w:basedOn w:val="Normal"/>
    <w:link w:val="CharStyle31"/>
    <w:pPr>
      <w:widowControl w:val="0"/>
      <w:shd w:val="clear" w:color="auto" w:fill="auto"/>
      <w:ind w:left="3820"/>
    </w:pPr>
    <w:rPr>
      <w:rFonts w:ascii="Arial" w:eastAsia="Arial" w:hAnsi="Arial" w:cs="Arial"/>
      <w:b w:val="0"/>
      <w:bCs w:val="0"/>
      <w:i w:val="0"/>
      <w:iCs w:val="0"/>
      <w:smallCaps w:val="0"/>
      <w:strike w:val="0"/>
      <w:color w:val="63636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