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ф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120" w:line="288" w:lineRule="auto"/>
        <w:ind w:left="0" w:right="0" w:firstLine="0"/>
        <w:jc w:val="center"/>
        <w:rPr>
          <w:sz w:val="17"/>
          <w:szCs w:val="17"/>
        </w:rPr>
      </w:pPr>
      <w:r>
        <w:rPr>
          <w:b/>
          <w:bCs/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  <w:br/>
        <w:t>Федеральной антимонопольной службы</w:t>
        <w:br/>
        <w:t>по Ивановской области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40" w:line="276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ул. Жарова, 10, Иваново, 153000</w:t>
        <w:br/>
        <w:t>тел. (4932) 32-85-73, факс (4932) 32-63-60</w:t>
        <w:br/>
        <w:t>е-тай: 1о37@Гав.§оу.ги</w:t>
      </w:r>
    </w:p>
    <w:p>
      <w:pPr>
        <w:pStyle w:val="Style12"/>
        <w:keepNext/>
        <w:keepLines/>
        <w:widowControl w:val="0"/>
        <w:shd w:val="clear" w:color="auto" w:fill="auto"/>
        <w:tabs>
          <w:tab w:pos="1848" w:val="left"/>
        </w:tabs>
        <w:bidi w:val="0"/>
        <w:spacing w:before="0" w:line="240" w:lineRule="auto"/>
        <w:ind w:left="0" w:right="0" w:firstLine="0"/>
        <w:jc w:val="center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7.07.2023</w:t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ab/>
      </w:r>
      <w:r>
        <w:fldChar w:fldCharType="end"/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 xml:space="preserve">№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ТМ/2309/2</w:t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>3</w:t>
      </w:r>
      <w:bookmarkEnd w:id="0"/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center"/>
        <w:rPr>
          <w:sz w:val="18"/>
          <w:szCs w:val="18"/>
        </w:rPr>
      </w:pPr>
      <w:r>
        <w:rPr>
          <w:b w:val="0"/>
          <w:bCs w:val="0"/>
          <w:spacing w:val="0"/>
          <w:w w:val="100"/>
          <w:position w:val="0"/>
          <w:sz w:val="18"/>
          <w:szCs w:val="18"/>
          <w:shd w:val="clear" w:color="auto" w:fill="auto"/>
          <w:lang w:val="ru-RU" w:eastAsia="ru-RU" w:bidi="ru-RU"/>
        </w:rPr>
        <w:t xml:space="preserve">На №  от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ООО «МЕДИЛОНА» </w:t>
      </w:r>
      <w:r>
        <w:fldChar w:fldCharType="begin"/>
      </w:r>
      <w:r>
        <w:rPr/>
        <w:instrText> HYPERLINK "mailto:info@medilona.ru" </w:instrText>
      </w:r>
      <w:r>
        <w:fldChar w:fldCharType="separate"/>
      </w:r>
      <w:r>
        <w:rPr>
          <w:b/>
          <w:bCs/>
          <w:color w:val="00008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шГо@теДПопа.ги</w:t>
      </w:r>
      <w:r>
        <w:fldChar w:fldCharType="end"/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«ДЕСЕПТА Груп»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ОБУЗ «Ивановская клиническая больница имени Куваевых»</w:t>
      </w:r>
    </w:p>
    <w:p>
      <w:pPr>
        <w:pStyle w:val="Style20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erReference w:type="default" r:id="rId5"/>
          <w:footerReference w:type="first" r:id="rId6"/>
          <w:footnotePr>
            <w:pos w:val="pageBottom"/>
            <w:numFmt w:val="decimal"/>
            <w:numRestart w:val="continuous"/>
          </w:footnotePr>
          <w:pgSz w:w="11900" w:h="16840"/>
          <w:pgMar w:top="361" w:right="1232" w:bottom="1231" w:left="1140" w:header="0" w:footer="3" w:gutter="0"/>
          <w:pgNumType w:start="1"/>
          <w:cols w:num="2" w:space="994"/>
          <w:noEndnote/>
          <w:titlePg/>
          <w:rtlGutter w:val="0"/>
          <w:docGrid w:linePitch="360"/>
        </w:sectPr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АО «Сбербанк-АСТ»</w:t>
      </w:r>
      <w:bookmarkEnd w:id="2"/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91" w:after="91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369" w:right="0" w:bottom="1223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№037/06/50-403/2023 (07-15/2023-186)</w:t>
      </w:r>
    </w:p>
    <w:p>
      <w:pPr>
        <w:pStyle w:val="Style16"/>
        <w:keepNext w:val="0"/>
        <w:keepLines w:val="0"/>
        <w:widowControl w:val="0"/>
        <w:shd w:val="clear" w:color="auto" w:fill="auto"/>
        <w:tabs>
          <w:tab w:pos="8405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Дата оглашения решения: 24 июля 2023 года</w:t>
        <w:tab/>
        <w:t>город Иваново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Дата изготовления решения: 27 июля 2023 года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Федеральной антимонопольной службы по Ивановской области по контролю в сфере закупок (далее - Комиссия Ивановского УФАС России) в составе: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председателя Комиссии: Михеевой Т.А. - ВрИО руководителя управления;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 Дмитриевой Н.А. - ВрИО начальника отдела контроля в сфере закупок, Притумановой Ю.К. - главного специалиста-эксперта отдела контроля в сфере закупок,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заседание проведено в режиме видеоконференцсвязи при участии представителя ООО «ДЕСЕПТА Груп» (далее - Общество, Заявитель): Янчука Вадима Николаевича (приказ №5/09-2022-к от 19.09.2022),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отсутствие представителей ОБУЗ «Ивановская клиническая больница имени Куваевых» (далее - Заказчик) (надлежащим образом уведомлены о дате, времени и месте рассмотрения жалобы),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44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жалобу ООО «ДЕСЕПТА Груп» на действия ОБУЗ «Ивановская клиническая больница имени Куваевых» при проведении запроса котировок в электронной форме на поставку расходных материалов и изделий медицинских для нужд ОБУЗ ИКБ им. Куваевых (извещение 0333300018923000150), и в результате</w:t>
      </w:r>
    </w:p>
    <w:p>
      <w:pPr>
        <w:pStyle w:val="Style24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bookmarkStart w:id="4" w:name="bookmark4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1111111111111111111111II</w:t>
      </w:r>
      <w:bookmarkEnd w:id="4"/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осуществления внеплановой проверки в соответствии с п. 1 ч. 15 ст. 99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20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bookmarkStart w:id="6" w:name="bookmark6"/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УСТАНОВИЛА:</w:t>
      </w:r>
      <w:bookmarkEnd w:id="6"/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16.07.2023 (зарегистрирована 17.07.2023) в Управление Федеральной антимонопольной службы по Ивановской области поступила жалоба ООО «ДЕСЕПТА Груп» на действия ОБУЗ «Ивановская клиническая больница имени Куваевых» при проведении запроса котировок в электронной форме на поставку расходных материалов и изделий медицинских для нужд ОБУЗ ИКБ им. Куваевых (извещение 0333300018923000150).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Согласно жалобе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, заявка ООО «Медилона» необоснованно признана Заказчиком соответствующей требованиям извещения о закупке и Закона о контрактной системе, так как товар, предлагаемый ООО «Медилона» к поставке, производства ЗАО «ТРЕКПОР ТЕХНОЛОДЖИ», не соответствует требованиям извещения о закупке, а именно:</w:t>
      </w:r>
    </w:p>
    <w:p>
      <w:pPr>
        <w:pStyle w:val="Style1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2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товар, представленный в заявке ООО «Медилона» не соответствует характеристике, установленной в извещении о закупке: «Комплект обеспечивает ручное или автоматическое аппаратное начальное заполнение и вытеснение воздуха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без использования воздушных фильтров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», потому, что в Руководстве по эксплуатации аппарата для мембранного плазмафереза АМПлд - «ТТ» указано, что аппарат обладает ловушкой воздуха, то есть воздушным фильтром;</w:t>
      </w:r>
    </w:p>
    <w:p>
      <w:pPr>
        <w:pStyle w:val="Style1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2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товар, представленный в заявке ООО «Медилона» не соответствует характеристике, установленной в извещении о закупке: «Микрофильтрационная мембрана с поверхностной пористостью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80%».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мнению Заявителя, аппарат имеет показатель 8%;</w:t>
      </w:r>
    </w:p>
    <w:p>
      <w:pPr>
        <w:pStyle w:val="Style1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2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товар, представленный в заявке ООО «Медилона» не соответствует характеристике, установленной в извещении о закупке: «Плазмофильтр, входящий в состав комплекта, должен иметь: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Жесткий прозрачный корпус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», а плазмофильтр, предлагаемый ООО «Медилона», имеет не прозрачный корпус, что и было указано в заявке;</w:t>
      </w:r>
    </w:p>
    <w:p>
      <w:pPr>
        <w:pStyle w:val="Style1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2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товар, представленный в заявке ООО «Медилона» не соответствует характеристике, установленной в извещении о закупке: «Выход из плазмы от входного потока крови (производительность по плазме),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% от 25 до 35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», в следствии того, что аппарат производства ЗАО «ТРЕКПОР ТЕХНОЛОДЖИ» имеет фактический выход плазмы в диапазоне от 20-30%;</w:t>
      </w:r>
    </w:p>
    <w:p>
      <w:pPr>
        <w:pStyle w:val="Style1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2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товар, представленный в заявке ООО «Медилона» не соответствует характеристике, установленной в извещении о закупке: «Магистраль кровопроводящая, входящая в состав комплекта, содержит: Атравматичный для клеток крови пульсовый насос, работающий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без окклюзии насосного сегмента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», в следствии того, что в Руководстве по эксплуатации аппарата для мембранного плазмафереза АМПлд - «ТТ» указано, что комплектом однократного применения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для аппаратного и безаппаратного плазмафереза происходит пережатие насосного сегмента, также на боковых стенках корпуса аппарата симметрично расположены два пережимных электромагнитных клапана, что в своей части подтверждает наличие окклюзии (пережатия) насосного сегмента;</w:t>
      </w:r>
    </w:p>
    <w:p>
      <w:pPr>
        <w:pStyle w:val="Style1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2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товар, представленный в заявке ООО «Медилона» не соответствует характеристике, установленной в извещении о закупке: «Магистраль кровопроводящая, входящая в состав комплекта, содержит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Транфузионный фильтр микроагрегатов крови с размером пор, мкм не более 180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», так как такая характеристика отсутствует у товара, представленного в своей заявке ООО «Медилона».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вышеизложенного, ОБУЗ «Ивановская клиническая больница имени Куваевых» следовало отклонить заявку ООО «Медилона», как несоответствующую извещению о проведении закупки и Закону о контрактной системе.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ОБУЗ «Ивановская клиническая больница имени Куваевых» в своих возражениях на жалобу указало, что не согласно с жалобой Заявителя, нарушений при проведении закупки допущено не было.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представленные ООО «ДЕСЕПТА Груп», ОБУЗ «Ивановская клиническая больница имени Куваевых», ООО «Медилона», АО «Сбербанк-АСТ» документы, заслушав представителя Общества, участвующего в рассмотрении жалобы, проведя внеплановую проверку в соответствии с ч. 15 ст. 99 Закона о контрактной системе, Комиссия Ивановского УФАС России установила следующее.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05.07.2023 на официальном сайте единой информационной системы в сфере закупок в информационно-телекоммуникационной сети Интернет (</w:t>
      </w:r>
      <w:r>
        <w:fldChar w:fldCharType="begin"/>
      </w:r>
      <w:r>
        <w:rPr/>
        <w:instrText> HYPERLINK "http://www.zakupki.gov.ru/" </w:instrText>
      </w:r>
      <w:r>
        <w:fldChar w:fldCharType="separate"/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\у\у\у./акир|&lt;1.доу. ги</w:t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) (далее - официальный сайт) было размещено извещение 0333300018923000150 о проведении запроса котировок в электронной форме на поставку расходных материалов и изделий медицинских для нужд ОБУЗ ИКБ им. Куваевых.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извещением о проведении запроса котировок в электронной форме, протоколом, составленными при определении поставщика (подрядчика, исполнителя):</w:t>
      </w:r>
    </w:p>
    <w:p>
      <w:pPr>
        <w:pStyle w:val="Style1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74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начальная (максимальная) цена контракта - 192 750,00 руб.;</w:t>
      </w:r>
    </w:p>
    <w:p>
      <w:pPr>
        <w:pStyle w:val="Style1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74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дата и время окончания срока подачи заявок - 12.07.2023 12:00;</w:t>
      </w:r>
    </w:p>
    <w:p>
      <w:pPr>
        <w:pStyle w:val="Style1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2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протоколу подведения итогов определения поставщика (подрядчика, исполнителя) от 12.07.2023 №ИЗК1 на участие в закупке было подано 2 заявки. Все участники закупки и их заявки были признаны соответствующими извещению о проведении закупки и Закону о контрактной системе. Победителем закупки был признан участник с идентификационным номером 26 (ООО «Медилона»).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Контракт между ОБУЗ «Ивановская клиническая больница имени Куваевых» и ООО «Медилона» заключен 17.07.2023.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приложению №1 к извещению «Описание объекта закупки»,</w:t>
      </w:r>
      <w:r>
        <w:br w:type="page"/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91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 необходимо следующее:</w:t>
      </w:r>
    </w:p>
    <w:tbl>
      <w:tblPr>
        <w:tblOverlap w:val="never"/>
        <w:jc w:val="center"/>
        <w:tblLayout w:type="fixed"/>
      </w:tblPr>
      <w:tblGrid>
        <w:gridCol w:w="485"/>
        <w:gridCol w:w="1248"/>
        <w:gridCol w:w="5266"/>
        <w:gridCol w:w="3154"/>
      </w:tblGrid>
      <w:tr>
        <w:trPr>
          <w:trHeight w:val="475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1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Набор для афереза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Комплект для плазмафереза, включающий магистрали кровопроводящие с плазмофильтром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соответствие</w:t>
            </w:r>
          </w:p>
        </w:tc>
      </w:tr>
      <w:tr>
        <w:trPr>
          <w:trHeight w:val="240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Назначение - проведение процедур лечебного плазмафереза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соответствие</w:t>
            </w:r>
          </w:p>
        </w:tc>
      </w:tr>
      <w:tr>
        <w:trPr>
          <w:trHeight w:val="470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Совместимость комплекта с аппаратом АМПлд-«ТТ» («Гемофеникс»)*, имеющимся у Заказчика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соответствие</w:t>
            </w:r>
          </w:p>
        </w:tc>
      </w:tr>
      <w:tr>
        <w:trPr>
          <w:trHeight w:val="706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Комплект обеспечивает ручное или автоматическое аппаратное начальное заполнение и вытеснение воздуха без использования воздушных фильтров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соответствие</w:t>
            </w:r>
          </w:p>
        </w:tc>
      </w:tr>
      <w:tr>
        <w:trPr>
          <w:trHeight w:val="475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Экстракорпоральный объем заполнения комплекта кровью, мл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не более 100</w:t>
            </w:r>
          </w:p>
        </w:tc>
      </w:tr>
      <w:tr>
        <w:trPr>
          <w:trHeight w:val="466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Комплект - стерилен, апирогенен, нетоксичен, однократного применения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соответствие</w:t>
            </w:r>
          </w:p>
        </w:tc>
      </w:tr>
      <w:tr>
        <w:trPr>
          <w:trHeight w:val="480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i/>
                <w:i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Плазмофильтр, входящий в состав комплекта, должен иметь: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66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Микрофильтрационную мембрану с поверхностной пористостью, %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не менее 80</w:t>
            </w:r>
          </w:p>
        </w:tc>
      </w:tr>
      <w:tr>
        <w:trPr>
          <w:trHeight w:val="240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Площадь поверхности мембраны, см</w:t>
            </w: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vertAlign w:val="superscript"/>
                <w:lang w:val="ru-RU" w:eastAsia="ru-RU" w:bidi="ru-RU"/>
              </w:rPr>
              <w:t>2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не более 1500</w:t>
            </w:r>
          </w:p>
        </w:tc>
      </w:tr>
      <w:tr>
        <w:trPr>
          <w:trHeight w:val="240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Жесткий прозрачный корпус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соответствие</w:t>
            </w:r>
          </w:p>
        </w:tc>
      </w:tr>
      <w:tr>
        <w:trPr>
          <w:trHeight w:val="475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Выход плазмы от входного потока крови (производительность по плазме), в %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от 25 до 35</w:t>
            </w:r>
          </w:p>
        </w:tc>
      </w:tr>
      <w:tr>
        <w:trPr>
          <w:trHeight w:val="470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i/>
                <w:i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Магистраль кровопроводящая, входящая в состав комплекта, содержит: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70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Атравматичный для клеток крови пульсовой насос, работающий без окклюзии насосного сегмента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соответствие</w:t>
            </w:r>
          </w:p>
        </w:tc>
      </w:tr>
      <w:tr>
        <w:trPr>
          <w:trHeight w:val="475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Трансфузионный фильтр микроагрегатов крови с размером пор, мкм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не более 180</w:t>
            </w:r>
          </w:p>
        </w:tc>
      </w:tr>
      <w:tr>
        <w:trPr>
          <w:trHeight w:val="240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Контейнер для сбора и утилизации плазмы, объем мл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не менее 700</w:t>
            </w:r>
          </w:p>
        </w:tc>
      </w:tr>
      <w:tr>
        <w:trPr>
          <w:trHeight w:val="514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2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Раствор для цитратной антикоагу ляции в контейнер е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80" w:right="0" w:hanging="180"/>
              <w:jc w:val="both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Назначение: для антикоагуляции цельной крови во время процедур афереза (плазмафереза) или гемосорбции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соответствие</w:t>
            </w:r>
          </w:p>
        </w:tc>
      </w:tr>
      <w:tr>
        <w:trPr>
          <w:trHeight w:val="499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80" w:right="0" w:hanging="180"/>
              <w:jc w:val="both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Полимерный прозрачный контейнер с раствором антикоагулянта на основе цитрата натрия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соответствие</w:t>
            </w:r>
          </w:p>
        </w:tc>
      </w:tr>
      <w:tr>
        <w:trPr>
          <w:trHeight w:val="240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hanging="180"/>
              <w:jc w:val="both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Объем контейнера, мл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не менее 250</w:t>
            </w:r>
          </w:p>
        </w:tc>
      </w:tr>
      <w:tr>
        <w:trPr>
          <w:trHeight w:val="1042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hanging="180"/>
              <w:jc w:val="both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Состав антикоагулянта:</w:t>
            </w:r>
          </w:p>
          <w:p>
            <w:pPr>
              <w:pStyle w:val="Style30"/>
              <w:keepNext w:val="0"/>
              <w:keepLines w:val="0"/>
              <w:widowControl w:val="0"/>
              <w:numPr>
                <w:ilvl w:val="0"/>
                <w:numId w:val="3"/>
              </w:numPr>
              <w:shd w:val="clear" w:color="auto" w:fill="auto"/>
              <w:tabs>
                <w:tab w:pos="110" w:val="left"/>
              </w:tabs>
              <w:bidi w:val="0"/>
              <w:spacing w:before="0" w:after="0" w:line="240" w:lineRule="auto"/>
              <w:ind w:left="180" w:right="0" w:hanging="180"/>
              <w:jc w:val="both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Натрия цитрат дигидрат, г/л</w:t>
            </w:r>
          </w:p>
          <w:p>
            <w:pPr>
              <w:pStyle w:val="Style30"/>
              <w:keepNext w:val="0"/>
              <w:keepLines w:val="0"/>
              <w:widowControl w:val="0"/>
              <w:numPr>
                <w:ilvl w:val="0"/>
                <w:numId w:val="3"/>
              </w:numPr>
              <w:shd w:val="clear" w:color="auto" w:fill="auto"/>
              <w:tabs>
                <w:tab w:pos="110" w:val="left"/>
              </w:tabs>
              <w:bidi w:val="0"/>
              <w:spacing w:before="0" w:after="0" w:line="240" w:lineRule="auto"/>
              <w:ind w:left="180" w:right="0" w:hanging="18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Лимонная кислота безводная, г/л</w:t>
            </w:r>
          </w:p>
          <w:p>
            <w:pPr>
              <w:pStyle w:val="Style30"/>
              <w:keepNext w:val="0"/>
              <w:keepLines w:val="0"/>
              <w:widowControl w:val="0"/>
              <w:numPr>
                <w:ilvl w:val="0"/>
                <w:numId w:val="3"/>
              </w:numPr>
              <w:shd w:val="clear" w:color="auto" w:fill="auto"/>
              <w:tabs>
                <w:tab w:pos="110" w:val="left"/>
              </w:tabs>
              <w:bidi w:val="0"/>
              <w:spacing w:before="0" w:after="0" w:line="240" w:lineRule="auto"/>
              <w:ind w:left="180" w:right="0" w:hanging="18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Вода для инъекций, л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не менее 38,0 не более 0,28 не более 1,0</w:t>
            </w:r>
          </w:p>
        </w:tc>
      </w:tr>
      <w:tr>
        <w:trPr>
          <w:trHeight w:val="235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hanging="18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Порт - спайк-коннектор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наличие</w:t>
            </w:r>
          </w:p>
        </w:tc>
      </w:tr>
      <w:tr>
        <w:trPr>
          <w:trHeight w:val="518" w:hRule="exact"/>
        </w:trPr>
        <w:tc>
          <w:tcPr>
            <w:vMerge/>
            <w:tcBorders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80" w:right="0" w:hanging="18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Стерильный, апирогенный, нетоксичный, однократного применения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соответствие</w:t>
            </w:r>
          </w:p>
        </w:tc>
      </w:tr>
    </w:tbl>
    <w:p>
      <w:pPr>
        <w:widowControl w:val="0"/>
        <w:spacing w:after="279" w:line="1" w:lineRule="exact"/>
      </w:pP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информацией, представленной АО «Сбербанк-АСТ», на участие в закупке было подано 2 заявки. Заявка с идентификационным номером 26 (ООО «Медилона») содержала предложение о поставке комплекта однократного применения для аппаратного и безаппаратного плазмафереза по ТУ 9444-005</w:t>
        <w:softHyphen/>
        <w:t>49560207-2010 ЗАО «ТРЕПОР ТЕХНОЛОДЖИ» Россия и Растворы стерильные антикоагулянтов гемоконсервантов в однокамерных полимерных контейнерах по ТУ 32.50.13-004-02649147-2019.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сведениям, представленным АО «Сбербанк-АСТ», заявка ООО «Медилона» содержала следующие характеристики товара:</w:t>
      </w:r>
    </w:p>
    <w:tbl>
      <w:tblPr>
        <w:tblOverlap w:val="never"/>
        <w:jc w:val="center"/>
        <w:tblLayout w:type="fixed"/>
      </w:tblPr>
      <w:tblGrid>
        <w:gridCol w:w="1891"/>
        <w:gridCol w:w="5261"/>
        <w:gridCol w:w="2645"/>
      </w:tblGrid>
      <w:tr>
        <w:trPr>
          <w:trHeight w:val="470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Комплект однократного применения для аппаратного и безаппаратного плазмафереза по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Комплект для плазмафереза, включающий магистрали кровопроводящие с плазмофильтром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соответствие</w:t>
            </w:r>
          </w:p>
        </w:tc>
      </w:tr>
      <w:tr>
        <w:trPr>
          <w:trHeight w:val="240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bottom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Назначение - проведение процедур лечебного плазмафереза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соответствие</w:t>
            </w:r>
          </w:p>
        </w:tc>
      </w:tr>
      <w:tr>
        <w:trPr>
          <w:trHeight w:val="470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bottom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Совместимость комплекта с аппаратом АМПлд-«ТТ» («Гемофеникс»), имеющимся у Заказчика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соответствие</w:t>
            </w:r>
          </w:p>
        </w:tc>
      </w:tr>
      <w:tr>
        <w:trPr>
          <w:trHeight w:val="254" w:hRule="exact"/>
        </w:trPr>
        <w:tc>
          <w:tcPr>
            <w:vMerge/>
            <w:tcBorders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/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Комплект обеспечивает ручное или автоматическое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соответствие</w:t>
            </w:r>
          </w:p>
        </w:tc>
      </w:tr>
    </w:tbl>
    <w:p>
      <w:pPr>
        <w:widowControl w:val="0"/>
        <w:spacing w:line="1" w:lineRule="exact"/>
      </w:pPr>
      <w:r>
        <w:br w:type="page"/>
      </w:r>
    </w:p>
    <w:tbl>
      <w:tblPr>
        <w:tblOverlap w:val="never"/>
        <w:jc w:val="center"/>
        <w:tblLayout w:type="fixed"/>
      </w:tblPr>
      <w:tblGrid>
        <w:gridCol w:w="360"/>
        <w:gridCol w:w="1886"/>
        <w:gridCol w:w="5261"/>
        <w:gridCol w:w="2645"/>
      </w:tblGrid>
      <w:tr>
        <w:trPr>
          <w:trHeight w:val="480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20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ТУ 9444-005</w:t>
              <w:softHyphen/>
              <w:t>49560207-2010</w:t>
            </w:r>
          </w:p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ЗАО «ТРЕКПОР ТЕХНОЛОДЖИ» РОССИЯ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аппаратное начальное заполнение и вытеснение воздуха без использования воздушных фильтров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70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Экстракорпоральный объем заполнения комплекта кровью, мл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100</w:t>
            </w:r>
          </w:p>
        </w:tc>
      </w:tr>
      <w:tr>
        <w:trPr>
          <w:trHeight w:val="466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Комплект - стерилен, апирогенен, нетоксичен, однократного применения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соответствие</w:t>
            </w:r>
          </w:p>
        </w:tc>
      </w:tr>
      <w:tr>
        <w:trPr>
          <w:trHeight w:val="480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i/>
                <w:i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Плазмофильтр, входящий в состав комплекта, должен иметь: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66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Микрофильтрационную мембрану с поверхностной пористостью, %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80</w:t>
            </w:r>
          </w:p>
        </w:tc>
      </w:tr>
      <w:tr>
        <w:trPr>
          <w:trHeight w:val="240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Площадь поверхности мембраны, см</w:t>
            </w: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vertAlign w:val="superscript"/>
                <w:lang w:val="ru-RU" w:eastAsia="ru-RU" w:bidi="ru-RU"/>
              </w:rPr>
              <w:t>2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1500</w:t>
            </w:r>
          </w:p>
        </w:tc>
      </w:tr>
      <w:tr>
        <w:trPr>
          <w:trHeight w:val="240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Жесткий корпус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наличие</w:t>
            </w:r>
          </w:p>
        </w:tc>
      </w:tr>
      <w:tr>
        <w:trPr>
          <w:trHeight w:val="475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Выход плазмы от входного потока крови (производительность по плазме), в %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от 25 до 35</w:t>
            </w:r>
          </w:p>
        </w:tc>
      </w:tr>
      <w:tr>
        <w:trPr>
          <w:trHeight w:val="470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i/>
                <w:i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Магистраль кровопроводящая, входящая в состав комплекта, содержит: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70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Атравматичный для клеток крови пульсовой насос, работающий без окклюзии насосного сегмента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соответствие</w:t>
            </w:r>
          </w:p>
        </w:tc>
      </w:tr>
      <w:tr>
        <w:trPr>
          <w:trHeight w:val="250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Контейнер для сбора и утилизации плазмы, объем мл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700</w:t>
            </w:r>
          </w:p>
        </w:tc>
      </w:tr>
      <w:tr>
        <w:trPr>
          <w:trHeight w:val="499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2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9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Растворы стерильные антикоагулянтов и гемоконсервантов в однокамерных полимерных контейнерах по ТУ 32.50.13-004</w:t>
              <w:softHyphen/>
              <w:t>02649147-2019, вариант исполнения:</w:t>
            </w:r>
          </w:p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240" w:line="269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Раствор натрия цитрата 4% в однокамерном полимерном контейнере, объёмом 250,0 мл</w:t>
            </w:r>
          </w:p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ООО «ГЕМОДЖЕНИКС »</w:t>
            </w:r>
          </w:p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Россия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60" w:right="0" w:hanging="16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Назначение: для антикоагуляции цельной крови во время процедур афереза (плазмафереза) или гемосорбции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соответствие</w:t>
            </w:r>
          </w:p>
        </w:tc>
      </w:tr>
      <w:tr>
        <w:trPr>
          <w:trHeight w:val="514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bottom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60" w:right="0" w:hanging="16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Полимерный прозрачный контейнер с раствором антикоагулянта на основе цитрата натрия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соответствие</w:t>
            </w:r>
          </w:p>
        </w:tc>
      </w:tr>
      <w:tr>
        <w:trPr>
          <w:trHeight w:val="240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bottom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hanging="16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Объем контейнера, мл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250</w:t>
            </w:r>
          </w:p>
        </w:tc>
      </w:tr>
      <w:tr>
        <w:trPr>
          <w:trHeight w:val="1032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bottom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hanging="16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Состав антикоагулянта:</w:t>
            </w:r>
          </w:p>
          <w:p>
            <w:pPr>
              <w:pStyle w:val="Style30"/>
              <w:keepNext w:val="0"/>
              <w:keepLines w:val="0"/>
              <w:widowControl w:val="0"/>
              <w:numPr>
                <w:ilvl w:val="0"/>
                <w:numId w:val="5"/>
              </w:numPr>
              <w:shd w:val="clear" w:color="auto" w:fill="auto"/>
              <w:tabs>
                <w:tab w:pos="110" w:val="left"/>
              </w:tabs>
              <w:bidi w:val="0"/>
              <w:spacing w:before="0" w:after="0" w:line="240" w:lineRule="auto"/>
              <w:ind w:left="160" w:right="0" w:hanging="16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Натрия цитрат дигидрат, г/л</w:t>
            </w:r>
          </w:p>
          <w:p>
            <w:pPr>
              <w:pStyle w:val="Style30"/>
              <w:keepNext w:val="0"/>
              <w:keepLines w:val="0"/>
              <w:widowControl w:val="0"/>
              <w:numPr>
                <w:ilvl w:val="0"/>
                <w:numId w:val="5"/>
              </w:numPr>
              <w:shd w:val="clear" w:color="auto" w:fill="auto"/>
              <w:tabs>
                <w:tab w:pos="110" w:val="left"/>
              </w:tabs>
              <w:bidi w:val="0"/>
              <w:spacing w:before="0" w:after="0" w:line="240" w:lineRule="auto"/>
              <w:ind w:left="160" w:right="0" w:hanging="16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Лимонная кислота безводная, г/л</w:t>
            </w:r>
          </w:p>
          <w:p>
            <w:pPr>
              <w:pStyle w:val="Style30"/>
              <w:keepNext w:val="0"/>
              <w:keepLines w:val="0"/>
              <w:widowControl w:val="0"/>
              <w:numPr>
                <w:ilvl w:val="0"/>
                <w:numId w:val="5"/>
              </w:numPr>
              <w:shd w:val="clear" w:color="auto" w:fill="auto"/>
              <w:tabs>
                <w:tab w:pos="110" w:val="left"/>
              </w:tabs>
              <w:bidi w:val="0"/>
              <w:spacing w:before="0" w:after="0" w:line="240" w:lineRule="auto"/>
              <w:ind w:left="160" w:right="0" w:hanging="16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Вода для инъекций, л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45,6</w:t>
            </w:r>
          </w:p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0 - 0,015</w:t>
            </w:r>
          </w:p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1,0</w:t>
            </w:r>
          </w:p>
        </w:tc>
      </w:tr>
      <w:tr>
        <w:trPr>
          <w:trHeight w:val="245" w:hRule="exact"/>
        </w:trPr>
        <w:tc>
          <w:tcPr>
            <w:vMerge/>
            <w:tcBorders>
              <w:left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auto"/>
            <w:vAlign w:val="bottom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hanging="16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Порт - спайк-коннектор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наличие</w:t>
            </w:r>
          </w:p>
        </w:tc>
      </w:tr>
      <w:tr>
        <w:trPr>
          <w:trHeight w:val="3307" w:hRule="exact"/>
        </w:trPr>
        <w:tc>
          <w:tcPr>
            <w:vMerge/>
            <w:tcBorders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/>
          </w:p>
        </w:tc>
        <w:tc>
          <w:tcPr>
            <w:vMerge/>
            <w:tcBorders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/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60" w:right="0" w:hanging="16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Стерильный, апирогенный, нетоксичный, однократного применения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3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ru-RU" w:eastAsia="ru-RU" w:bidi="ru-RU"/>
              </w:rPr>
              <w:t>соответствие</w:t>
            </w:r>
          </w:p>
        </w:tc>
      </w:tr>
    </w:tbl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Относительно несоответствия характеристики «Комплект обеспечивает ручное или автоматическое аппаратное начальное заполнение и вытеснение воздуха без использования воздушных фильтров», Комиссией Ивановского УФАС России установлено следующее. На официальном сайте Росздравнадзора размещен документ «Руководство по эксплуатации аппарата для мембранного плазмафереза АМПлд - «ТТ» производитель ЗАО «ТРЕПОР ТЕХНОЛОДЖИ». В соответствии с указанным руководством, в состав комплекта входит ловушка воздуха.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Согласно Руководству по эксплуатации аппарата для мембранного плазмафереза АМПлд - «ТТ» «...На рисунке 6 показаны соединения плазмофильтра 22 с венозной ловушкой воздуха 23 посредством штуцера 25 и с артериальной веткой комплекта кровопроводящих магистралей посредством штуцера 24., Основной задачей при заполнении экстракорпорального контура является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минимизация оставшегося внутри воздуха...».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мнению Заявителя, ловушка воздуха является воздушным фильтром, который Заказчику в составе комплекта не нужен. Вместе с тем, согласно возражениям на жалобу, представленным ОБУЗ «Ивановская клиническая больница имени Куваевых» и ООО «Медилона» ловушка воздуха не является воздушным фильтром, а является воздухоуловителем.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тем, согласно данным, представленным в информационно</w:t>
        <w:softHyphen/>
        <w:t>коммуникационной сети Интернет, воздушная ловушка — это фильтрующее устройство, предназначенное для удаления загрязняющих веществ из источника сжатого воздуха. Воздушный фильтр — элемент воздухоочистителя (бумажный, матерчатый, войлочный, поролоновый, сетчатый или иной), который служит для очистки от пыли и иных видов загрязнений.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оценив представленные доказательства, Ивановское УФАС России делает вывод о том, что воздушный фильтр и ловушка воздуха являются понятиями идентичными, имеющими одинаковые характеристики и предназначение.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вышеизложенного, товар, предлагаемый к поставке ООО «Медилона» имеет воздушный фильтр и не соответствует характеристике «Комплект обеспечивает ручное или автоматическое аппаратное начальное заполнение и вытеснение воздуха без использования воздушных фильтров» установленной Заказчиком в приложении №1 к извещению о закупке «Описание объекта закупки».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Относительно несоответствия характеристики «Плазмофильтр, входящий в состав комплекта, имеет: Микрофильтрационная мембрана с поверхностной пористостью 80%», Комиссия Ивановского УФАС России установила следующее.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мнению Общества, плазмофильтр, входящий в состав комплекта, представленного в заявке ООО «Медилона» является медицинским изделием МФМ- 01-ТТ «Роса». У плазмофильтра МФМ-01-ТТ «Роса» фактический показатель пористости гидрофобной трековой мембраны - 8%. Вместе с тем, Заявителем не представлено документального подтверждения, что в состав комплекта, представленного в заявке ООО «Медилона», входит плазмофильтр МФМ-01-ТТ «Роса». Кроме того, в своих возражениях ООО «Медилона указанную информацию опровергает.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Заявителем не доказан факт несоответствия товара характеристики «Плазмофильтр, входящий в состав комплекта, имеет: Микрофильтрационная мембрана с поверхностной пористостью 80%», указанной в извещении о закупке.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Относительно несоответствия характеристики «Плазмофильтр, входящий в состав комплекта, должен иметь: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Жесткий прозрачный корпус»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, Комиссия Ивановского УФАС России отмечает следующее.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16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Согласно сведениям, представленным АО «Сбербанк-АСТ», в заявке ООО «Медилона» содержится следующий показатель - «Плазмофильтр, входящий в состав комплекта, должен иметь: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Жесткий корпус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». Кроме этого, в составе своей заявки ООО «Медилона» представило фото предлагаемого к поставке товара, на котором отчетливо видно, что корпус плазмофильтра не прозрачный.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Таким образом, товар, предлагаемый к поставке ООО «Медилона» не соответствует характеристике «Плазмофильтр, входящий в состав комплекта, должен иметь: Жесткий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прозрачный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корпус», установленной Заказчиком в извещении о закупке.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Относительно несоответствия характеристики «Выход из плазмы от входного потока крови (производительность по плазме), в % от 25 до 35», Комиссия Ивановского УФАС России отмечает следующее.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Как было указано выше, по мнению Общества, плазмофильтр, входящий в состав комплекта, представленного в заявке ООО «Медилона», является медицинским изделием МФМ-01-ТТ «Роса». У плазмофильтра МФМ-01-ТТ «Роса» имеется фактический выход плазмы (производительность) в диапазоне от 20 до 30%. Вместе с тем, Заявителем не представлено документального подтверждения, что в состав комплекта представленного в заявке ООО «Медилона» входит плазмофильтр МФМ-01-ТТ «Роса». Кроме того, в своих возражениях ООО «Медилона» указанную информацию опровергает. Таким образом, Заявителем не доказан факт несоответствия товара характеристики «Выход из плазмы от входного потока крови (производительность по плазме), в % от 25 до 35», указанной в извещении о закупке.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Относительно несоответствия характеристики «Магистраль кровопроводящая, входящая в состав комплекта, содержит: Атравматичный для клеток крови пульсовый насос, работающий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без окклюзии насосного сегмента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», Комиссия Ивановского УФАС России отмечает следующее.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Согласно Руководству по эксплуатации аппарата для мембранного плазмафереза АМПлд - «ТТ» «...на рисунке 4...На боковых стенках корпуса аппарата симметрично расположены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два пережимных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электромагнитных клапана 20, состояния которых (включено или выключено) определяют направление транспортирования жидкости в экстракорпоральном контуре;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от пациента к насосному сегменту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- фаза забора, или от насосного сегмента к плазмофильтру и от него к пациенту - фаза возврата. С помощью циклических поступательно</w:t>
        <w:softHyphen/>
        <w:t xml:space="preserve">возвратных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перемещений прижимного устройства насосного отсека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и соответствующих включений электромагнитных клапанов ЭМК1 и ЭМК2 в экстракорпоральном контуре создается однонаправленный пульсирующий поток крови от пациента по ветви М1 кровопроводящей магистрали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 насосному сегменту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 и от насосного сегмента Н по ветви М4 кровопроводящей магистрали к плазмофильтру ПФМ и через ловушку воздуха ЛВ по ветви М5 кровопроводящей магистрали обратно к пациенту.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товар, представленный в заявке ООО «Медилона», работает с окклюзией насосного сегмента, и не соответствует требованиям извещения о проведении закупки. Заказчиком иного не доказано.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Относительно несоответствия характеристики «Магистраль кровопроводящая, входящая в состав комплекта, содержит: Транфузионный фильтр микроагрегатов крови с размером пор, мкм не более 180», Комиссия Ивановского УФАС России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отмечает следующее.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сведениям, представленным АО «Сбербанк-АСТ», в заявке ООО «Медилона» отсутствует «Транфузионный фильтр микроагрегатов крови с размером пор, мкм не более 180». Таким образом, товар, представленный в заявке ООО «Медилона» не соответствует требованиям извещения о проведении закупки.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Заказчиком к возражениям на жалобу было приложено письмо ЗАО «ТРЕКПОР ТЕХНОЛОДЖИ» от 14.07.2023, в котором указано, что расходными материалами для аппарата для мембранного лечебного и донорского плазмафереза АМПлд - «ТТ» по ТУ 9444-003-49560207-2002, являются:</w:t>
      </w:r>
    </w:p>
    <w:p>
      <w:pPr>
        <w:pStyle w:val="Style1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0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комплект магистралей полимерных кровопроводящих для лечебного и донорского плазмафереза одноразовый, стерильный КМАП-01 «Новопласт-М» По ТУ 9393-046-171231966-002;</w:t>
      </w:r>
    </w:p>
    <w:p>
      <w:pPr>
        <w:pStyle w:val="Style1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0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комплект однократного применения для аппаратного и безаппаратного плазмафереза по ТУ 9444-005-49560207-2010.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ЗАО «ТРЕКПОР ТЕХНОЛОДЖИ» в целях использования всех функций и систем безопасности аппарата, рекомендует использовать оригинальные медицинские изделия.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Указанное письмо свидетельствует о совместимости предлагаемого к поставке комплекта с имеющимся в наличии у Заказчика аппаратом, вместе с тем, предлагаемый к поставке товар не соответствует установленным в извещении о закупке характеристикам товара.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п. 1 ч. 12 ст. 48 Закона о контрактной системе при рассмотрении вторых частей заявок на участие в закупке соответствующая заявка подлежит отклонению в случае непредставления (за исключением случаев, предусмотренных настоящим Федеральным законом) в заявке на участие в закупке информации и документов, предусмотренных извещением об осуществлении закупки в соответствии с настоящим Федеральным законом (за исключением информации и документов, предусмотренных пунктами 2 и 3 части 6 статьи 43 настоящего Федерального закона), несоответствия таких информации и документов требованиям, установленным в извещении об осуществлении закупки.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пп. а) п. 1 ч. 3 ст. 50 Закона о контрактной системе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установленных в извещении об осуществлении закупки члены комиссии по осуществлению закупок рассматривают заявки на участие в закупке, информацию и документы, направленные оператором электронной площадки в соответствии с частью 2 настоящей статьи,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пунктами 1 - 8 части 12 статьи 48 настоящего Федерального закона.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 как заявка ООО «Медилона» не соответствовала требованиям, установленным в извещении об осуществлении закупки, Комиссии Заказчика</w:t>
        <w:br w:type="pag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следовало отклонить заявку ООО «Медилона». Таким образом, ОБУЗ «Ивановская клиническая больница имени Куваевых» допущено нарушение пп. а) п. 1 ч. 3 ст. 50 Закона о контрактной системе.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Учитывая изложенное, а также тот факт, что выявленное нарушение Закона о контрактной системе свидетельствует о наличии признаков состава административного правонарушения, предусмотренного ч. 6 ст. 7.30 Кодекса Российской Федерации об административных правонарушениях (далее - КоАП РФ), руководствуясь ст. 99, 106 Закона о контрактной системе, Комиссия Ивановского УФАС России</w:t>
      </w:r>
    </w:p>
    <w:p>
      <w:pPr>
        <w:pStyle w:val="Style20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bookmarkStart w:id="8" w:name="bookmark8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 Е Ш И Л А:</w:t>
      </w:r>
      <w:bookmarkEnd w:id="8"/>
    </w:p>
    <w:p>
      <w:pPr>
        <w:pStyle w:val="Style16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40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Признать жалобу ООО «ДЕСЕПТА Груп» на действия ОБУЗ «Ивановская клиническая больница имени Куваевых» при проведении запроса котировок в электронной форме на поставку расходных материалов и изделий медицинских для нужд ОБУЗ ИКБ им. Куваевых (извещение 0333300018923000150) обоснованной.</w:t>
      </w:r>
    </w:p>
    <w:p>
      <w:pPr>
        <w:pStyle w:val="Style16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40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Установить в действиях ОБУЗ «Ивановская клиническая больница имени Куваевых» нарушение пп. а) п. 1 ч. 3 ст. 50 Закона о контрактной системе.</w:t>
      </w:r>
    </w:p>
    <w:p>
      <w:pPr>
        <w:pStyle w:val="Style16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40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 об устранении нарушения законодательства о контрактной системе не выдавать в связи с заключением контракта.</w:t>
      </w:r>
    </w:p>
    <w:p>
      <w:pPr>
        <w:pStyle w:val="Style16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402" w:val="left"/>
        </w:tabs>
        <w:bidi w:val="0"/>
        <w:spacing w:before="0" w:after="28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Передать материалы настоящей жалобы уполномоченному должностному лицу Ивановского УФАС России для принятия решения в соответствии с КоАП РФ.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может быть обжаловано в судебном порядке в течение трех месяцев с даты его принятия.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369" w:right="512" w:bottom="1223" w:left="1058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18110" distB="52070" distL="0" distR="0" simplePos="0" relativeHeight="125829378" behindDoc="0" locked="0" layoutInCell="1" allowOverlap="1">
                <wp:simplePos x="0" y="0"/>
                <wp:positionH relativeFrom="page">
                  <wp:posOffset>729615</wp:posOffset>
                </wp:positionH>
                <wp:positionV relativeFrom="paragraph">
                  <wp:posOffset>118110</wp:posOffset>
                </wp:positionV>
                <wp:extent cx="1874520" cy="252730"/>
                <wp:wrapTopAndBottom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7452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 комиссии: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57.450000000000003pt;margin-top:9.3000000000000007pt;width:147.59999999999999pt;height:19.900000000000002pt;z-index:-125829375;mso-wrap-distance-left:0;mso-wrap-distance-top:9.3000000000000007pt;mso-wrap-distance-right:0;mso-wrap-distance-bottom:4.0999999999999996pt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 комиссии: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63500" distB="0" distL="0" distR="1807210" simplePos="0" relativeHeight="125829380" behindDoc="0" locked="0" layoutInCell="1" allowOverlap="1">
            <wp:simplePos x="0" y="0"/>
            <wp:positionH relativeFrom="page">
              <wp:posOffset>2673985</wp:posOffset>
            </wp:positionH>
            <wp:positionV relativeFrom="paragraph">
              <wp:posOffset>63500</wp:posOffset>
            </wp:positionV>
            <wp:extent cx="311150" cy="359410"/>
            <wp:wrapTopAndBottom/>
            <wp:docPr id="7" name="Shap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311150" cy="3594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3067050</wp:posOffset>
                </wp:positionH>
                <wp:positionV relativeFrom="paragraph">
                  <wp:posOffset>133350</wp:posOffset>
                </wp:positionV>
                <wp:extent cx="1725295" cy="255905"/>
                <wp:wrapNone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241.5pt;margin-top:10.5pt;width:135.84999999999999pt;height:20.15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18110" distB="52070" distL="0" distR="0" simplePos="0" relativeHeight="125829381" behindDoc="0" locked="0" layoutInCell="1" allowOverlap="1">
                <wp:simplePos x="0" y="0"/>
                <wp:positionH relativeFrom="page">
                  <wp:posOffset>6146165</wp:posOffset>
                </wp:positionH>
                <wp:positionV relativeFrom="paragraph">
                  <wp:posOffset>118110</wp:posOffset>
                </wp:positionV>
                <wp:extent cx="1039495" cy="252730"/>
                <wp:wrapTopAndBottom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39495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Т.А. Михеева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483.94999999999999pt;margin-top:9.3000000000000007pt;width:81.850000000000009pt;height:19.900000000000002pt;z-index:-125829372;mso-wrap-distance-left:0;mso-wrap-distance-top:9.3000000000000007pt;mso-wrap-distance-right:0;mso-wrap-distance-bottom:4.0999999999999996pt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Т.А. Михеева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37"/>
        <w:keepNext w:val="0"/>
        <w:keepLines w:val="0"/>
        <w:widowControl w:val="0"/>
        <w:pBdr>
          <w:top w:val="single" w:sz="0" w:space="0" w:color="000000"/>
          <w:left w:val="single" w:sz="0" w:space="0" w:color="000000"/>
          <w:bottom w:val="single" w:sz="0" w:space="1" w:color="000000"/>
          <w:right w:val="single" w:sz="0" w:space="0" w:color="000000"/>
        </w:pBdr>
        <w:shd w:val="clear" w:color="auto" w:fill="000000"/>
        <w:bidi w:val="0"/>
        <w:spacing w:before="0" w:after="71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СВЕДЕНИЯ О </w:t>
      </w:r>
      <w:r>
        <w:rPr>
          <w:color w:val="FFFF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СЕРТИФИКАТЕ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ЭП</w:t>
      </w:r>
    </w:p>
    <w:p>
      <w:pPr>
        <w:pStyle w:val="Style4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выдан: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Михеева Татьяна Алексеевна</w:t>
      </w:r>
    </w:p>
    <w:p>
      <w:pPr>
        <w:pStyle w:val="Style4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393939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00Е241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</w:t>
      </w:r>
      <w:r>
        <w:rPr>
          <w:color w:val="393939"/>
          <w:spacing w:val="0"/>
          <w:w w:val="100"/>
          <w:position w:val="0"/>
          <w:shd w:val="clear" w:color="auto" w:fill="auto"/>
          <w:lang w:val="ru-RU" w:eastAsia="ru-RU" w:bidi="ru-RU"/>
        </w:rPr>
        <w:t>Р29С55А37443Е42838ВА3446Е04</w:t>
      </w:r>
    </w:p>
    <w:p>
      <w:pPr>
        <w:pStyle w:val="Style4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27.01.2023 </w:t>
      </w:r>
      <w:r>
        <w:rPr>
          <w:color w:val="393939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21.04.2024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05" w:right="541" w:bottom="1524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38100" distB="387350" distL="0" distR="0" simplePos="0" relativeHeight="125829383" behindDoc="0" locked="0" layoutInCell="1" allowOverlap="1">
                <wp:simplePos x="0" y="0"/>
                <wp:positionH relativeFrom="page">
                  <wp:posOffset>729615</wp:posOffset>
                </wp:positionH>
                <wp:positionV relativeFrom="paragraph">
                  <wp:posOffset>38100</wp:posOffset>
                </wp:positionV>
                <wp:extent cx="1341120" cy="252730"/>
                <wp:wrapTopAndBottom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4112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Члены комиссии: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57.450000000000003pt;margin-top:3.pt;width:105.60000000000001pt;height:19.900000000000002pt;z-index:-125829370;mso-wrap-distance-left:0;mso-wrap-distance-top:3.pt;mso-wrap-distance-right:0;mso-wrap-distance-bottom:30.5pt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Члены комиссии: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41605" distB="0" distL="0" distR="1789430" simplePos="0" relativeHeight="125829385" behindDoc="0" locked="0" layoutInCell="1" allowOverlap="1">
            <wp:simplePos x="0" y="0"/>
            <wp:positionH relativeFrom="page">
              <wp:posOffset>2649855</wp:posOffset>
            </wp:positionH>
            <wp:positionV relativeFrom="paragraph">
              <wp:posOffset>141605</wp:posOffset>
            </wp:positionV>
            <wp:extent cx="353695" cy="536575"/>
            <wp:wrapTopAndBottom/>
            <wp:docPr id="15" name="Shap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box 16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3113405</wp:posOffset>
                </wp:positionH>
                <wp:positionV relativeFrom="paragraph">
                  <wp:posOffset>544195</wp:posOffset>
                </wp:positionV>
                <wp:extent cx="1276985" cy="103505"/>
                <wp:wrapNone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76985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E7E7E7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245.15000000000001pt;margin-top:42.850000000000001pt;width:100.55pt;height:8.1500000000000004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1"/>
                          <w:szCs w:val="11"/>
                        </w:rPr>
                      </w:pPr>
                      <w:r>
                        <w:rPr>
                          <w:b/>
                          <w:bCs/>
                          <w:color w:val="E7E7E7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3067685</wp:posOffset>
                </wp:positionH>
                <wp:positionV relativeFrom="paragraph">
                  <wp:posOffset>233045</wp:posOffset>
                </wp:positionV>
                <wp:extent cx="1725295" cy="255905"/>
                <wp:wrapNone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393939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241.55000000000001pt;margin-top:18.350000000000001pt;width:135.84999999999999pt;height:20.15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393939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312420" distB="113030" distL="0" distR="0" simplePos="0" relativeHeight="125829386" behindDoc="0" locked="0" layoutInCell="1" allowOverlap="1">
                <wp:simplePos x="0" y="0"/>
                <wp:positionH relativeFrom="page">
                  <wp:posOffset>5926455</wp:posOffset>
                </wp:positionH>
                <wp:positionV relativeFrom="paragraph">
                  <wp:posOffset>312420</wp:posOffset>
                </wp:positionV>
                <wp:extent cx="1258570" cy="252730"/>
                <wp:wrapTopAndBottom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5857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Н.А. Дмитриева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466.65000000000003pt;margin-top:24.600000000000001pt;width:99.100000000000009pt;height:19.900000000000002pt;z-index:-125829367;mso-wrap-distance-left:0;mso-wrap-distance-top:24.600000000000001pt;mso-wrap-distance-right:0;mso-wrap-distance-bottom:8.9000000000000004pt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Н.А. Дмитриева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4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выдан: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Дмитриева Наталья Андреевна</w:t>
      </w:r>
    </w:p>
    <w:p>
      <w:pPr>
        <w:pStyle w:val="Style4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both"/>
      </w:pPr>
      <w:r>
        <w:rPr>
          <w:color w:val="393939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393939"/>
          <w:spacing w:val="0"/>
          <w:w w:val="100"/>
          <w:position w:val="0"/>
          <w:shd w:val="clear" w:color="auto" w:fill="auto"/>
          <w:lang w:val="ru-RU" w:eastAsia="ru-RU" w:bidi="ru-RU"/>
        </w:rPr>
        <w:t>73Е12Е26В59ВВЗА15В6ЕА44Е10В86703</w:t>
      </w:r>
    </w:p>
    <w:p>
      <w:pPr>
        <w:pStyle w:val="Style40"/>
        <w:keepNext w:val="0"/>
        <w:keepLines w:val="0"/>
        <w:widowControl w:val="0"/>
        <w:shd w:val="clear" w:color="auto" w:fill="auto"/>
        <w:bidi w:val="0"/>
        <w:spacing w:before="0" w:after="340" w:line="240" w:lineRule="auto"/>
        <w:ind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с 05.10.2022 </w:t>
      </w:r>
      <w:r>
        <w:rPr>
          <w:color w:val="393939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29.12.2023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330" w:line="240" w:lineRule="auto"/>
        <w:ind w:left="1280" w:right="0" w:firstLine="0"/>
        <w:jc w:val="left"/>
      </w:pPr>
      <w:r>
        <w:drawing>
          <wp:anchor distT="0" distB="0" distL="114300" distR="1921510" simplePos="0" relativeHeight="125829388" behindDoc="0" locked="0" layoutInCell="1" allowOverlap="1">
            <wp:simplePos x="0" y="0"/>
            <wp:positionH relativeFrom="page">
              <wp:posOffset>2674620</wp:posOffset>
            </wp:positionH>
            <wp:positionV relativeFrom="paragraph">
              <wp:posOffset>38100</wp:posOffset>
            </wp:positionV>
            <wp:extent cx="311150" cy="365760"/>
            <wp:wrapSquare wrapText="right"/>
            <wp:docPr id="23" name="Shape 2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box 24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11150" cy="3657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3067685</wp:posOffset>
                </wp:positionH>
                <wp:positionV relativeFrom="paragraph">
                  <wp:posOffset>107950</wp:posOffset>
                </wp:positionV>
                <wp:extent cx="1725295" cy="255905"/>
                <wp:wrapNone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241.55000000000001pt;margin-top:8.5pt;width:135.84999999999999pt;height:20.15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Ю.К. Притуманова</w:t>
      </w:r>
    </w:p>
    <w:p>
      <w:pPr>
        <w:pStyle w:val="Style37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1" w:color="000000"/>
          <w:right w:val="single" w:sz="0" w:space="0" w:color="000000"/>
        </w:pBdr>
        <w:shd w:val="clear" w:color="auto" w:fill="000000"/>
        <w:bidi w:val="0"/>
        <w:spacing w:before="0" w:after="71" w:line="240" w:lineRule="auto"/>
        <w:ind w:left="382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СВЕДЕНИЯ О </w:t>
      </w:r>
      <w:r>
        <w:rPr>
          <w:color w:val="FFFF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СЕРТИФИКАТЕ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ЭП</w:t>
      </w:r>
    </w:p>
    <w:p>
      <w:pPr>
        <w:pStyle w:val="Style4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выдан: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Притуманова Юлия Константиновна</w:t>
      </w:r>
    </w:p>
    <w:p>
      <w:pPr>
        <w:pStyle w:val="Style4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both"/>
      </w:pPr>
      <w:r>
        <w:rPr>
          <w:color w:val="393939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393939"/>
          <w:spacing w:val="0"/>
          <w:w w:val="100"/>
          <w:position w:val="0"/>
          <w:shd w:val="clear" w:color="auto" w:fill="auto"/>
          <w:lang w:val="ru-RU" w:eastAsia="ru-RU" w:bidi="ru-RU"/>
        </w:rPr>
        <w:t>46613505ЕС1Е050Е8Е6С87760ВВ07В74</w:t>
      </w:r>
    </w:p>
    <w:p>
      <w:pPr>
        <w:pStyle w:val="Style40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393939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18.01.2023 </w:t>
      </w:r>
      <w:r>
        <w:rPr>
          <w:color w:val="393939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12.04.2024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05" w:right="541" w:bottom="1105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716280</wp:posOffset>
              </wp:positionH>
              <wp:positionV relativeFrom="page">
                <wp:posOffset>10021570</wp:posOffset>
              </wp:positionV>
              <wp:extent cx="648970" cy="100330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2023-1260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56.399999999999999pt;margin-top:789.10000000000002pt;width:51.100000000000001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2023-1260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9857740</wp:posOffset>
              </wp:positionV>
              <wp:extent cx="648970" cy="10033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2023-1260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57.pt;margin-top:776.20000000000005pt;width:51.100000000000001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2023-1260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ru-RU" w:eastAsia="ru-RU" w:bidi="ru-RU"/>
      </w:rPr>
    </w:lvl>
  </w:abstractNum>
  <w:abstractNum w:abstractNumId="6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8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6)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color w:val="4360A3"/>
      <w:sz w:val="72"/>
      <w:szCs w:val="72"/>
      <w:u w:val="single"/>
    </w:rPr>
  </w:style>
  <w:style w:type="character" w:customStyle="1" w:styleId="CharStyle5">
    <w:name w:val="Колонтитул (2)_"/>
    <w:basedOn w:val="DefaultParagraphFont"/>
    <w:link w:val="Style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8">
    <w:name w:val="Основной текст (3)_"/>
    <w:basedOn w:val="DefaultParagraphFont"/>
    <w:link w:val="Styl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360A3"/>
      <w:sz w:val="16"/>
      <w:szCs w:val="16"/>
      <w:u w:val="none"/>
    </w:rPr>
  </w:style>
  <w:style w:type="character" w:customStyle="1" w:styleId="CharStyle11">
    <w:name w:val="Основной текст (4)_"/>
    <w:basedOn w:val="DefaultParagraphFont"/>
    <w:link w:val="Style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360A3"/>
      <w:sz w:val="19"/>
      <w:szCs w:val="19"/>
      <w:u w:val="none"/>
    </w:rPr>
  </w:style>
  <w:style w:type="character" w:customStyle="1" w:styleId="CharStyle13">
    <w:name w:val="Заголовок №2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character" w:customStyle="1" w:styleId="CharStyle17">
    <w:name w:val="Основной текст_"/>
    <w:basedOn w:val="DefaultParagraphFont"/>
    <w:link w:val="Style1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21">
    <w:name w:val="Заголовок №3_"/>
    <w:basedOn w:val="DefaultParagraphFont"/>
    <w:link w:val="Style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23">
    <w:name w:val="Подпись к картинке_"/>
    <w:basedOn w:val="DefaultParagraphFont"/>
    <w:link w:val="Style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42424"/>
      <w:sz w:val="12"/>
      <w:szCs w:val="12"/>
      <w:u w:val="none"/>
    </w:rPr>
  </w:style>
  <w:style w:type="character" w:customStyle="1" w:styleId="CharStyle25">
    <w:name w:val="Заголовок №1_"/>
    <w:basedOn w:val="DefaultParagraphFont"/>
    <w:link w:val="Style24"/>
    <w:rPr>
      <w:rFonts w:ascii="Arial" w:eastAsia="Arial" w:hAnsi="Arial" w:cs="Arial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character" w:customStyle="1" w:styleId="CharStyle29">
    <w:name w:val="Подпись к таблице_"/>
    <w:basedOn w:val="DefaultParagraphFont"/>
    <w:link w:val="Style2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31">
    <w:name w:val="Другое_"/>
    <w:basedOn w:val="DefaultParagraphFont"/>
    <w:link w:val="Style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38">
    <w:name w:val="Основной текст (5)_"/>
    <w:basedOn w:val="DefaultParagraphFont"/>
    <w:link w:val="Style3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E7E7E7"/>
      <w:sz w:val="11"/>
      <w:szCs w:val="11"/>
      <w:u w:val="none"/>
    </w:rPr>
  </w:style>
  <w:style w:type="character" w:customStyle="1" w:styleId="CharStyle41">
    <w:name w:val="Основной текст (2)_"/>
    <w:basedOn w:val="DefaultParagraphFont"/>
    <w:link w:val="Style40"/>
    <w:rPr>
      <w:rFonts w:ascii="Arial" w:eastAsia="Arial" w:hAnsi="Arial" w:cs="Arial"/>
      <w:b w:val="0"/>
      <w:bCs w:val="0"/>
      <w:i w:val="0"/>
      <w:iCs w:val="0"/>
      <w:smallCaps w:val="0"/>
      <w:strike w:val="0"/>
      <w:color w:val="696969"/>
      <w:sz w:val="12"/>
      <w:szCs w:val="12"/>
      <w:u w:val="none"/>
    </w:rPr>
  </w:style>
  <w:style w:type="paragraph" w:customStyle="1" w:styleId="Style2">
    <w:name w:val="Основной текст (6)"/>
    <w:basedOn w:val="Normal"/>
    <w:link w:val="CharStyle3"/>
    <w:pPr>
      <w:widowControl w:val="0"/>
      <w:shd w:val="clear" w:color="auto" w:fill="auto"/>
      <w:spacing w:after="220"/>
      <w:jc w:val="center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360A3"/>
      <w:sz w:val="72"/>
      <w:szCs w:val="72"/>
      <w:u w:val="single"/>
    </w:rPr>
  </w:style>
  <w:style w:type="paragraph" w:customStyle="1" w:styleId="Style4">
    <w:name w:val="Колонтитул (2)"/>
    <w:basedOn w:val="Normal"/>
    <w:link w:val="CharStyle5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7">
    <w:name w:val="Основной текст (3)"/>
    <w:basedOn w:val="Normal"/>
    <w:link w:val="CharStyle8"/>
    <w:pPr>
      <w:widowControl w:val="0"/>
      <w:shd w:val="clear" w:color="auto" w:fill="auto"/>
      <w:spacing w:after="80" w:line="281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360A3"/>
      <w:sz w:val="16"/>
      <w:szCs w:val="16"/>
      <w:u w:val="none"/>
    </w:rPr>
  </w:style>
  <w:style w:type="paragraph" w:customStyle="1" w:styleId="Style10">
    <w:name w:val="Основной текст (4)"/>
    <w:basedOn w:val="Normal"/>
    <w:link w:val="CharStyle11"/>
    <w:pPr>
      <w:widowControl w:val="0"/>
      <w:shd w:val="clear" w:color="auto" w:fill="auto"/>
      <w:spacing w:after="38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360A3"/>
      <w:sz w:val="19"/>
      <w:szCs w:val="19"/>
      <w:u w:val="none"/>
    </w:rPr>
  </w:style>
  <w:style w:type="paragraph" w:customStyle="1" w:styleId="Style12">
    <w:name w:val="Заголовок №2"/>
    <w:basedOn w:val="Normal"/>
    <w:link w:val="CharStyle13"/>
    <w:pPr>
      <w:widowControl w:val="0"/>
      <w:shd w:val="clear" w:color="auto" w:fill="auto"/>
      <w:spacing w:after="320"/>
      <w:jc w:val="center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paragraph" w:customStyle="1" w:styleId="Style16">
    <w:name w:val="Основной текст"/>
    <w:basedOn w:val="Normal"/>
    <w:link w:val="CharStyle17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20">
    <w:name w:val="Заголовок №3"/>
    <w:basedOn w:val="Normal"/>
    <w:link w:val="CharStyle21"/>
    <w:pPr>
      <w:widowControl w:val="0"/>
      <w:shd w:val="clear" w:color="auto" w:fill="auto"/>
      <w:spacing w:after="280"/>
      <w:jc w:val="center"/>
      <w:outlineLvl w:val="2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paragraph" w:customStyle="1" w:styleId="Style22">
    <w:name w:val="Подпись к картинке"/>
    <w:basedOn w:val="Normal"/>
    <w:link w:val="CharStyle23"/>
    <w:pPr>
      <w:widowControl w:val="0"/>
      <w:shd w:val="clear" w:color="auto" w:fill="auto"/>
      <w:spacing w:line="218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42424"/>
      <w:sz w:val="12"/>
      <w:szCs w:val="12"/>
      <w:u w:val="none"/>
    </w:rPr>
  </w:style>
  <w:style w:type="paragraph" w:customStyle="1" w:styleId="Style24">
    <w:name w:val="Заголовок №1"/>
    <w:basedOn w:val="Normal"/>
    <w:link w:val="CharStyle25"/>
    <w:pPr>
      <w:widowControl w:val="0"/>
      <w:shd w:val="clear" w:color="auto" w:fill="auto"/>
      <w:spacing w:after="28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paragraph" w:customStyle="1" w:styleId="Style28">
    <w:name w:val="Подпись к таблице"/>
    <w:basedOn w:val="Normal"/>
    <w:link w:val="CharStyle29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30">
    <w:name w:val="Другое"/>
    <w:basedOn w:val="Normal"/>
    <w:link w:val="CharStyle31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37">
    <w:name w:val="Основной текст (5)"/>
    <w:basedOn w:val="Normal"/>
    <w:link w:val="CharStyle38"/>
    <w:pPr>
      <w:widowControl w:val="0"/>
      <w:shd w:val="clear" w:color="auto" w:fill="auto"/>
      <w:spacing w:after="100"/>
      <w:ind w:left="191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E7E7E7"/>
      <w:sz w:val="11"/>
      <w:szCs w:val="11"/>
      <w:u w:val="none"/>
    </w:rPr>
  </w:style>
  <w:style w:type="paragraph" w:customStyle="1" w:styleId="Style40">
    <w:name w:val="Основной текст (2)"/>
    <w:basedOn w:val="Normal"/>
    <w:link w:val="CharStyle41"/>
    <w:pPr>
      <w:widowControl w:val="0"/>
      <w:shd w:val="clear" w:color="auto" w:fill="auto"/>
      <w:ind w:left="310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696969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image" Target="media/image1.jpeg"/><Relationship Id="rId8" Type="http://schemas.openxmlformats.org/officeDocument/2006/relationships/image" Target="media/image1.jpeg" TargetMode="Externa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Relationship Id="rId11" Type="http://schemas.openxmlformats.org/officeDocument/2006/relationships/image" Target="media/image3.jpeg"/><Relationship Id="rId12" Type="http://schemas.openxmlformats.org/officeDocument/2006/relationships/image" Target="media/image3.jpeg" TargetMode="External"/></Relationships>
</file>