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Томской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6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Адрес места нахождения: г.Томск, пр-кт. Ленина, 111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Почтовый адрес: 634069, г.Томск, пр-кт. Ленина, 111</w:t>
        <w:br/>
        <w:t>тел. (3822) 51-50-61, факс (3822) 51-29-80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1о70@(а8.§оу.п1</w:t>
      </w:r>
    </w:p>
    <w:p>
      <w:pPr>
        <w:pStyle w:val="Style12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7.06.2023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АА/3857/2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 № 070/06/106 560/2023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Федеральное государственное бюджетное образовательное учреждение высшего образования «Сибирский государственный медицинский университет» Министерства здравоохранения Российской Федерации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634050, Томская область, г. Томск, Московский тракт, д.2 ойгсе@88ти.ги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"ББ ГРУП"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424005, республика Марий Эл, г. Йошкар-Ола, ул. Тракт Сернурский, д.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пом. 10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аоЪЪдгир@дтай.сот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"РТС-тендер"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25 этаж, помещение 1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796" w:bottom="1313" w:left="1140" w:header="0" w:footer="3" w:gutter="0"/>
          <w:pgNumType w:start="1"/>
          <w:cols w:num="2" w:space="720" w:equalWidth="0">
            <w:col w:w="4214" w:space="1051"/>
            <w:col w:w="469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ко@г18-1епдег.ги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7" w:right="0" w:bottom="134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№070/06/106-560/2023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 нарушении</w:t>
        <w:br/>
        <w:t>законодательства Российской Федерации</w:t>
        <w:br/>
        <w:t>о контрактной системе в сфере закупок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6557645</wp:posOffset>
                </wp:positionH>
                <wp:positionV relativeFrom="paragraph">
                  <wp:posOffset>12700</wp:posOffset>
                </wp:positionV>
                <wp:extent cx="631190" cy="25273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16.35000000000002pt;margin-top:1.pt;width:49.700000000000003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19.06.2023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1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России, Комиссия) в составе: председателя комиссии: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Абдурахманова А.Ф., - заместителя руководителя;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283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Истоминой З.С.,</w:t>
        <w:tab/>
        <w:t xml:space="preserve">- специалиста 1 разряда отдела контроля монополистической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деятельности;</w:t>
      </w:r>
    </w:p>
    <w:p>
      <w:pPr>
        <w:widowControl w:val="0"/>
        <w:spacing w:line="1" w:lineRule="exact"/>
      </w:pPr>
      <w:r>
        <w:drawing>
          <wp:anchor distT="8890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88900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283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Лукьяненка К.К.,</w:t>
        <w:tab/>
        <w:t>- специалиста-эксперта отдела контроля монополистической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деятельности,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жалобу, поступившую (вх. № 4801-ЭП/23 от 14.06.2023) АО «ББ ГРУП» (далее - Заявитель) на действия ФГБОУ ВО «СибГМУ» Минздрава РФ (далее - Заказчик) при осуществлении закупки в форме запроса котировок в электронной форме «Расходные материалы для учебной и научной деятельности №2» (извещение № 0365100014823000373) (далее - запрос котировок), и проведя внеплановую проверку в соответствии с пунктом 1 части 15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44-ФЗ),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Заявителя и Заказчика, о дате и месте рассмотрения уведомленных надлежащим образом,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Томское УФАС России обратился Заявитель с жалобой, поданной в срок и соответствующей статье 105 Закона 44-ФЗ на действия Заказчика при осуществлении закупки в форме запроса котировок в электронной форме «Расходные материалы для учебной и научной деятельности №2» (извещение № 0365100014823000373), нарушающие,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жалобы Заявителя следует, что Заказчик объединил в один лот товары, включенные в перечни, утвержденные Постановлением Правительства РФ от 05.02.2015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 (далее - Постановление № 102) и не включенные в него.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письменных пояснениях Заказчик указал, что законодателем не установлен запрет на одновременное включение в извещение о закупке товаров, имеющих равную степень ограничения.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просит признать жалобу обоснованной.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просит признать жалобу необоснованной.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проверки, Комиссия Томского УФАС России установила следующее.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закупки размещено на Официальном сайте единой информационной системы в сфере закупок в информационно</w:t>
        <w:softHyphen/>
        <w:t>телекоммуникационной сети Интернет (далее - Официальный сайт, ЕИС) 05.06.2023.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144 396,60 руб.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Объект закупки - «Расходные материалы для учебной и научной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деятельности №2».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контракт не заключен.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запросе котировок не подано ни одной заявки.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 настоящего Федерального закона.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 России установила, что извещением установлено ограничение допуска товаров, происходящих из иностранного государства в соответствии с Постановлением № 102.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Постановления № 102 утвержден перечень отдельных видов медицинских изделий, происходящих из иностранных государств, в отношении которых устанавливаются ограничения допуска для целей осуществления закупок для обеспечения государственных и муниципальных нужд (далее - Перечень № 1); перечень медицинских изделий одноразового применения (использования) из поливинилхлоридных пластиков и иных пластиков, полимеров и материалов, происходящих из иностранных государств, в отношении которых устанавливаются ограничения допуска для целей осуществления закупок для обеспечения государственных и муниципальных нужд (далее - Перечень № 2).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примечании к Перечню № 1 указано, что при применении настоящего перечня следует руководствоваться как кодом в соответствии с Общероссийским классификатором продукции по видам экономической деятельности (ОКПД2), так и наименованием вида медицинского изделия.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электронному документу «ТЗ шприцы 2023 часть 1» извещения № 0365100014823000373 к закупке предполагаются следующие товары: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Шприц общего назначения, код классификации товаров, работ, услуг (далее - КТРУ) 32.50.13.110-00004575, код ОКПД2 32.50.13.110;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Шприц инсулиновый/убираемая игла, код КТРУ 32.50.13.110-03188, код ОКПД2 32.50.13.110;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Шприц инсулиновый/неубираемая игла, код КТРУ 32.50.13.110-03210, код ОКПД2 32.50.13.110;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Шприц для вакцинации с механизмом предотвращения повторного использования/игла, код КТРУ 32.50.13.110-00059, код ОКПД2 32.50.13.110;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Игла инъекционная, одноразового использования, стерильная, код КТРУ 32.50.13.110-00005177, код ОКПД2 32.50.13.110;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Ручка-скарификатор автоматическая, одноразового использования, код КТРУ 32.50.13.190-00007473, код ОКПД2 32.50.13.190;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27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Ланцет для ручного прокалывания, одноразового использования, код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КТРУ 32.50.13.190-00007343, код ОКПД2 32.50.13.190;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Игла для забора крови, стандартная, код КТРУ 32.50.13.110-00005042, код ОКПД2 32.50.13.110;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Игла инъекционная, одноразового использования, стерильная, код КТРУ 32.50.13.110-00005177, код ОКПД2 32.50.13.110;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Лезвие микротома, одноразового использования, код КТРУ 32.50.13.190</w:t>
        <w:softHyphen/>
        <w:t>00006973, код ОКПД2 32.50.13.190;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27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Скальпель, многоразового использования, код КТРУ 32.50.13.190-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00008048, код ОКПД2 32.50.13.190;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 Щипцы для перевязочного материала/универсальные, в форме пинцета,</w:t>
      </w:r>
    </w:p>
    <w:tbl>
      <w:tblPr>
        <w:tblOverlap w:val="never"/>
        <w:jc w:val="center"/>
        <w:tblLayout w:type="fixed"/>
      </w:tblPr>
      <w:tblGrid>
        <w:gridCol w:w="3902"/>
        <w:gridCol w:w="662"/>
        <w:gridCol w:w="5674"/>
      </w:tblGrid>
      <w:tr>
        <w:trPr>
          <w:trHeight w:val="307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многоразового использования,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код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КТРУ 32.50.13.190-00007733, код ОКПД2</w:t>
            </w:r>
          </w:p>
        </w:tc>
      </w:tr>
      <w:tr>
        <w:trPr>
          <w:trHeight w:val="638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32.50.13.190;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13. Зонд ректальный,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код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КТРУ 32.50.13.190-00007786, код ОКПД2</w:t>
            </w:r>
          </w:p>
        </w:tc>
      </w:tr>
      <w:tr>
        <w:trPr>
          <w:trHeight w:val="648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32.50.13.190;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14. Зонд ректальный,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код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КТРУ 32.50.13.190-00007783, код ОКПД2</w:t>
            </w:r>
          </w:p>
        </w:tc>
      </w:tr>
    </w:tbl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32.50.13.190;</w:t>
      </w:r>
    </w:p>
    <w:p>
      <w:pPr>
        <w:pStyle w:val="Style1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27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Зонд, код КТРУ 32.50.13.110-00005628, код ОКПД2 32.50.13.110;</w:t>
      </w:r>
    </w:p>
    <w:p>
      <w:pPr>
        <w:pStyle w:val="Style1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Игла лабораторная препарировальная, код КТРУ 32.50.13.110, код ОКПД2 ;</w:t>
      </w:r>
    </w:p>
    <w:p>
      <w:pPr>
        <w:pStyle w:val="Style1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27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Корнцанг, код КТРУ 32.50.13.190-00007550, код ОКПД2 32.50.13.190;</w:t>
      </w:r>
    </w:p>
    <w:p>
      <w:pPr>
        <w:pStyle w:val="Style1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Мочеприемник со сливным краном без крепления к пациенту, стерильный, код КТРУ 32.50.13.190-00006898, код ОКПД2 32.50.13.190;</w:t>
      </w:r>
    </w:p>
    <w:p>
      <w:pPr>
        <w:pStyle w:val="Style1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Канюля назальная стандартная для подачи кислорода, стерильная, код КТРУ 32.50.13.110-00005149, код ОКПД2 32.50.13.110.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Перечню № 1, с кодом ОКПД2 32.50.13.110 соотносятся следующие виды медицинских изделий: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иглы хирургические;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инструменты колющие;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шприцы-инъекторы медицинские многоразового и одноразового использования с инъекционными иглами и без них.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Коду ОКПД2 32.50.13.110, который включен в Перечень № 1, соответствуют следующие закупаемые Заказчиком товары: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шприц общего назначения;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шприц инсулиновый/убираемая игла;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шприц инсулиновый/неубираемая игла;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шприц для вакцинации с мех анизмом предотвращения повторного использования/игла;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игла инъекционная, одноразового использования, стерильная;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игла для забора крови, стандартная;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игла инъекционная, одноразового использования, стерильная;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зонд;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канюля назальная стандартная для подачи кислорода, стерильная.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Перечень № 1 Постановления № 102 включены товары с кодом ОКПД2, которому соответствуют закупаемые товары («шприц общего назначения», «шприц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инсулиновый/убираемая игла», «шприц инсулиновый/неубираемая игла», «шприц для вакцинации с механизмом предотвращения повторного использования/игла», «игла инъекционная, одноразового использования, стерильная», «игла для забора крови, стандартная», игла инъекционная, одноразового использования, стерильная», «зонд», «канюля назальная стандартная для подачи кислорода, стерильная»), но наименования видов медицинских изделий, планируемых к закупке, в Перечне № 1 отсутствуют.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согласно примечанию к Перечню № 1, указанные товары не включены в Перечень № 1.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Томского УФАС России установлено, что закупаемые товары с кодом ОКПД2 32.50.13.110 не включены в Перечень № 1, так как данные товары не соответствуют наименованиям медицинских изделий, соответствующих коду ОКПД2 32.50.13.110 в указанном перечне.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Перечню № 1, с кодом ОКПД2 32.50.13.190 соотносятся следующие виды медицинских изделий: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боры зубные твердосплавные;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головки стоматологические алмазные, в том числе фасонные;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емкости для взятия, хранения и транспортировки биологических проб для выполнения клинических лабораторных исследований, включая пробирки вакуумные для взятия венозной крови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(за исключением пробирок вакуумных для взятия венозной крови, соответствующих кодам вида медицинского изделия в соответствии с номенклатурной классификацией медицинских изделий - 293640, 293630, 293700, 293780, 293540, 293760, 293480, 293400),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пробирки для взятия капиллярной крови,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емкости для мочи, кала и мокроты;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зеркала гинекологические полимерные по Куско;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зонды урогенитальные;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иглодержатели микрохирургические;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инструменты вспомогательные;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инструменты зондирующие, бужирующие;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инструменты многоповерхностного воздействия;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инструменты оттесняющие;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инструменты режущие и ударные с острой (режущей) кромкой; каналонаполнители;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микромоторы пневматические для наконечников стоматологических;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модули медицинские климатизированные (чистое помещение);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наборы гинекологические смотровые одноразовые стерильные;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наконечники для микромоторов;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наконечники стоматологические турбинные;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ножницы микрохирургические;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пинцеты микрохирургические;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пульпоэкстракторы;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фрезы зуботехнические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Коду ОКПД2 32.50.13.190, который включен в Перечень № 1, соответствуют следующие закупаемые Заказчиком товары: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ручка-скарификатор автоматическая, одноразового использования;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ланцет для ручного прокалывания, одноразового использования;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лезвие микротома, одноразового использования;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скальпель, многоразового использования;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щипцы для перевязочного материала/универсальные, в форме пинцета, многоразового использования;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зонд ректальный (код КТРУ 32.50.13.190-00007786);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зонд ректальный (код КТРУ 32.50.13.190-00007783); корнцанг.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Товары «ручка-скарификатор автоматическая, одноразового использования» «ланцет для ручного прокалывания, одноразового использования», «лезвие микротома, одноразового использования», «скальпель, многоразового использования», «щипцы для перевязочного материала/универсальные, в форме пинцета, многоразового использования», «корнцанг» не включены в Перечень № 1 Постановления № 102, поскольку не относится ни к одному из перечисленных в Перечне № 1 видов медицинских изделий, соответствующих коду ОКПД2 32.50.13.190.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Товары «зонд ректальный» (код КТРУ 32.50.13.190-00007786) и «зонд ректальный» (код КТРУ 32.50.13.190-00007783) включены в Перечень № 1, поскольку относятся к видами медицинских изделий «инструменты зондирующие, бужирующие», соответствующих коду ОКПД2 32.50.13.190 согласно Постановлению Правительства РФ от 30.09.2015 № 1042 «Об утверждении перечня медицинских товаров, реализация которых на территории Российской Федерации и ввоз которых на территорию Российской Федерации и иные территории, находящиеся под ее юрисдикцией, не подлежат обложению (освобождаются от обложения) налогом на добавленную стоимость» (далее - Постановление № 1042).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Товар «канюля назальная стандартная для подачи кислорода, стерильная» включен в Перечень № 1, поскольку относится к виду медицинских изделий «инструменты зондирующие, бужирующие», соответствующих коду ОКПД2 32.50.13.190 согласно Постановлению № 1042.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Перечень № 2 Постановления № 102 включен код ОКПД2, по которому предполагается закупка товара «мочеприемник со сливным краном без крепления к пациенту, стерильный».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примечанию к Перечню № 2 Постановления № 102 при применении настоящего перечня следует руководствоваться указанными в соответствующих подразделе и пункте данного перечня классификационными признаками медицинского изделия, применимыми к закупаемому медицинскому изделию, а также кодами Общероссийского классификатора продукции по видам экономической деятельности (ОКПД 2) ОК 034-2014 (КПЕС 2008) и (или) кодами вида медицинского изделия в соответствии с номенклатурной классификацией медицинских изделий, утвержденной приказом Министерства здравоохранения Российской Федерации (НКМИ). Классификационные признаки медицинского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изделия, указанные в каждом подразделе данного перечня, распространяются на все пункты данного подраздела. Для медицинских изделий, соответствующих классификационным признакам, указанным в настоящем перечне, допускается классификация кодами ОКПД 2, указанными в применимом к продукции подразделе.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информации Перечня № 2 Постановления № 102 товар «мочеприемник однокомпонентный, носимый» имеет код ОКПД2 32.50.13.190, коды номенклатурной классификации медицинских изделий по видам (далее - НКМИ) 152430, 156400, 152430 и 156390, классификационные признаки медицинского изделия: «мочеприемник предназначен для реабилитации при нарушениях естественного оттока мочи, после проведения операций, для использования при наличии цистостомы. Гибкий пластиковый мешок, разработанный для подсоединения к мочевому катетеру или уропрезервативу для сбора выделяемой пациентом мочи. Изделие фиксируется на теле пациента (носимый), в том числе самоклеящийся для младенцев (педиатрический). Мочеприемники бывают закрытыми и со сливным краном. Изделие выпускается с подложкой из нетканого материала или без нее, в стерильном и нестерильном исполнениях. Это изделие предназначено для одноразового использования».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 закупке предполагается товар «мочеприемник со сливным краном без крепления к пациенту, стерильный», код ОКПД2 32.50.13.190, код НКМИ 156370, описание «стерильный гибкий пластиковый мешок, разработанный для присоединения к мочевому катетеру или уропрезервативу для сбора выделенной пациентом мочи; изделие выпускается с отверстием для дренажа мочи. Изделие не фиксируется непосредственно на пациенте. Это изделие для одноразового использования».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указанный товар не входит в Перечень № 2 Постановления № 102, поскольку классификационные признаки вида медицинского изделия, указанные в Перечне № 2 не соответствуют описанию товара в соответствии с позицией КТРУ по признаку крепления к пациенту: в Перечне № 2 указано «изделие фиксируется на теле пациента (носимый), в том числе самоклеящийся для младенцев (педиатрический)», в то время как описание товара в соответствии с КТРУ содержит следующую характеристику: «изделие не фиксируется непосредственно на пациенте». Кроме того, Перечень № 2 содержит коды НКМИ 152430, 156400, 152430 и 156390, в то время как согласно описанию указанного товара в позиции КТРУ указан код НКМИ 156370.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согласно примечанию к Перечню № 2, товар «мочеприемник со сливным краном без крепления к пациенту, стерильный» не включен в Перечень № 2.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 закупает товары:</w:t>
      </w:r>
    </w:p>
    <w:p>
      <w:pPr>
        <w:pStyle w:val="Style1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включенные в Перечень № 1 и Перечень № 2 Постановления № 102: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шприц общего назначения, код классификации товаров, работ, услуг (далее - КТРУ) 32.50.13.110-00004575, код ОКПД2 32.50.13.110;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шприц инсулиновый/убираемая игла, код КТРУ 32.50.13.110-03188, код ОКПД2 32.50.13.110;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2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шприц инсулиновый/неубираемая игла, код КТРУ 32.50.13.110-03210, код ОКПД2 32.50.13.110;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2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шприц для вакцинации с механизмом предотвращения повторного использования/игла, код КТРУ 32.50.13.110-00059, код ОКПД2 32.50.13.110;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2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игла инъекционная, одноразового использования, стерильная, код КТРУ 32.50.13.110-00005177, код ОКПД2 32.50.13.110;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2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ручка-скарификатор автоматическая, одноразового использования, код КТРУ 32.50.13.190-00007473, код ОКПД2 32.50.13.190;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2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ланцет для ручного прокалывания, одноразового использования, код КТРУ 32.50.13.190-00007343, код ОКПД2 32.50.13.190;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2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игла для забора крови, стандартная, код КТРУ 32.50.13.110-00005042, код ОКПД2 32.50.13.110;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2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игла инъекционная, одноразового использования, стерильная, код КТРУ 32.50.13.110-00005177, код ОКПД2 32.50.13.110;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2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лезвие микротома, одноразового использования, код КТРУ 32.50.13.190</w:t>
        <w:softHyphen/>
        <w:t>00006973, код ОКПД2 32.50.13.190;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2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скальпель, многоразового использования, код КТРУ 32.50.13.190</w:t>
        <w:softHyphen/>
        <w:t>00008048, код ОКПД2 32.50.13.190;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щипцы для перевязочного материала/универсальные, в форме пинцета, многоразового использования, код КТРУ 32.50.13.190-00007733, код ОКПД2 32.50.13.190;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141" w:val="left"/>
        </w:tabs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зонд, код КТРУ 32.50.13.110-00005628, код ОКПД2 32.50.13.110;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2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игла лабораторная препарировальная, код КТРУ 32.50.13.110, код ОКПД2 ;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141" w:val="left"/>
        </w:tabs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корнцанг, код КТРУ 32.50.13.190-00007550, код ОКПД2 32.50.13.190;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2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мочеприемник со сливным краном без крепления к пациенту, стерильный, код КТРУ 32.50.13.190-00006898, код ОКПД2 32.50.13.190;</w:t>
      </w:r>
    </w:p>
    <w:p>
      <w:pPr>
        <w:pStyle w:val="Style1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1" w:val="left"/>
        </w:tabs>
        <w:bidi w:val="0"/>
        <w:spacing w:before="0" w:after="1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включенные в перечень № 1 Постановления № 102:</w:t>
      </w:r>
    </w:p>
    <w:p>
      <w:pPr>
        <w:pStyle w:val="Style1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2" w:val="left"/>
          <w:tab w:pos="1430" w:val="left"/>
          <w:tab w:pos="2168" w:val="left"/>
          <w:tab w:pos="3946" w:val="left"/>
          <w:tab w:pos="4573" w:val="left"/>
          <w:tab w:pos="5542" w:val="left"/>
          <w:tab w:pos="8568" w:val="left"/>
          <w:tab w:pos="9259" w:val="left"/>
        </w:tabs>
        <w:bidi w:val="0"/>
        <w:spacing w:before="0" w:after="0" w:line="22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зонд</w:t>
        <w:tab/>
        <w:t>ректальный,</w:t>
        <w:tab/>
        <w:t>код</w:t>
        <w:tab/>
        <w:t>КТРУ</w:t>
        <w:tab/>
        <w:t>32.50.13.190-00007786,</w:t>
        <w:tab/>
        <w:t>код</w:t>
        <w:tab/>
        <w:t>ОКПД2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32.50.13.190;</w:t>
      </w:r>
    </w:p>
    <w:p>
      <w:pPr>
        <w:pStyle w:val="Style1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2" w:val="left"/>
          <w:tab w:pos="1430" w:val="left"/>
          <w:tab w:pos="2168" w:val="left"/>
          <w:tab w:pos="3946" w:val="left"/>
          <w:tab w:pos="4573" w:val="left"/>
          <w:tab w:pos="5542" w:val="left"/>
          <w:tab w:pos="8568" w:val="left"/>
          <w:tab w:pos="9259" w:val="left"/>
        </w:tabs>
        <w:bidi w:val="0"/>
        <w:spacing w:before="0" w:after="0" w:line="22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зонд</w:t>
        <w:tab/>
        <w:t>ректальный,</w:t>
        <w:tab/>
        <w:t>код</w:t>
        <w:tab/>
        <w:t>КТРУ</w:t>
        <w:tab/>
        <w:t>32.50.13.190-00007783,</w:t>
        <w:tab/>
        <w:t>код</w:t>
        <w:tab/>
        <w:t>ОКПД2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32.50.13.190;</w:t>
      </w:r>
    </w:p>
    <w:p>
      <w:pPr>
        <w:pStyle w:val="Style1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2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канюля назальная стандартная для подачи кислорода, стерильная, код КТРУ 32.50.13.110-00005149, код ОКПД2 32.50.13.110.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 России приходит к выводу о том, что предметом одного контракта являются виды медицинских изделий, включенных в Перечень № 1 Постановления № 102 и не включенных в него.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установлено нарушение части 3 статьи 14 Закона о контрактной системе.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Принимая во внимание вышеизложенное, и руководствуясь статьей 45, статьей 49, статьей 105, статьей 106 Закона 44-ФЗ, Комиссия Томского УФАС России,</w:t>
      </w:r>
      <w:r>
        <w:br w:type="page"/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АО «ББ ГРУП» (далее - Заявитель) на действия ФГБОУ ВО «СибГМУ» Минздрава РФ (далее - Заказчик) при осуществлении закупки в форме запроса котировок в электронной форме «Расходные материалы для учебной и научной деятельности №2» (извещение № 0365100014823000373) обоснованной.</w:t>
      </w:r>
    </w:p>
    <w:p>
      <w:pPr>
        <w:pStyle w:val="Style1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установлено нарушение части 3 статьи 14 Закона о контрактной системе.</w:t>
      </w:r>
    </w:p>
    <w:p>
      <w:pPr>
        <w:pStyle w:val="Style1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742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предписание об устранении нарушений.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в установленном законом порядке.</w:t>
      </w:r>
      <w:bookmarkEnd w:id="6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center"/>
      </w:pPr>
      <w:r>
        <w:drawing>
          <wp:anchor distT="0" distB="0" distL="114300" distR="1900555" simplePos="0" relativeHeight="125829381" behindDoc="0" locked="0" layoutInCell="1" allowOverlap="1">
            <wp:simplePos x="0" y="0"/>
            <wp:positionH relativeFrom="page">
              <wp:posOffset>2950210</wp:posOffset>
            </wp:positionH>
            <wp:positionV relativeFrom="paragraph">
              <wp:posOffset>63500</wp:posOffset>
            </wp:positionV>
            <wp:extent cx="347345" cy="396240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3361690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64.69999999999999pt;margin-top:12.200000000000001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А.Ф. Абдурахманов</w: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Абдурахманов Азамат Фархадович </w:t>
      </w:r>
      <w:r>
        <w:rPr>
          <w:color w:val="5B5B5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3001614Е8ВАЗАЕ95ВЕЕ1ОЕЮА34ЕВЕЕА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5B5B5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B5B5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06.04.2022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30.06.2023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7" w:right="534" w:bottom="1349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356235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76200</wp:posOffset>
                </wp:positionV>
                <wp:extent cx="134112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050000000000004pt;margin-top:6.pt;width:105.60000000000001pt;height:19.699999999999999pt;z-index:-125829371;mso-wrap-distance-left:0;mso-wrap-distance-top: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9225" distB="0" distL="0" distR="1786255" simplePos="0" relativeHeight="125829384" behindDoc="0" locked="0" layoutInCell="1" allowOverlap="1">
            <wp:simplePos x="0" y="0"/>
            <wp:positionH relativeFrom="page">
              <wp:posOffset>2947035</wp:posOffset>
            </wp:positionH>
            <wp:positionV relativeFrom="paragraph">
              <wp:posOffset>149225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3404235</wp:posOffset>
                </wp:positionH>
                <wp:positionV relativeFrom="paragraph">
                  <wp:posOffset>551815</wp:posOffset>
                </wp:positionV>
                <wp:extent cx="128016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68.05000000000001pt;margin-top:43.450000000000003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3361690</wp:posOffset>
                </wp:positionH>
                <wp:positionV relativeFrom="paragraph">
                  <wp:posOffset>237490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64.69999999999999pt;margin-top:18.699999999999999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356235" distL="0" distR="0" simplePos="0" relativeHeight="125829385" behindDoc="0" locked="0" layoutInCell="1" allowOverlap="1">
                <wp:simplePos x="0" y="0"/>
                <wp:positionH relativeFrom="page">
                  <wp:posOffset>5382260</wp:posOffset>
                </wp:positionH>
                <wp:positionV relativeFrom="paragraph">
                  <wp:posOffset>76200</wp:posOffset>
                </wp:positionV>
                <wp:extent cx="112141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14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З.С. Истомина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23.80000000000001pt;margin-top:6.pt;width:88.299999999999997pt;height:19.699999999999999pt;z-index:-125829368;mso-wrap-distance-left:0;mso-wrap-distance-top: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З.С. Истомина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Истомина Злата Сергеевна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00990В715720Р8ВЗЕ6ЕСЕЕА4Е96304ВАЕ2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25.01.2023 по 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9.04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2024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620" w:line="240" w:lineRule="auto"/>
        <w:ind w:left="0" w:right="86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2947035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3404235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8.05000000000001pt;margin-top:36.450000000000003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3361690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64.69999999999999pt;margin-top:11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К.К. Лукьяненок</w:t>
      </w:r>
      <w:bookmarkEnd w:id="8"/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Лукьяненок Климентий Константинович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00АА683Е22890ЕАО641 ВВВВ72249908301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3840" w:line="240" w:lineRule="auto"/>
        <w:ind w:right="0" w:firstLine="0"/>
        <w:jc w:val="left"/>
      </w:pPr>
      <w:r>
        <w:rPr>
          <w:color w:val="5B5B5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B5B5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03.02.2023 </w:t>
      </w: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28.04.2024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Исп.Лукьяненок К.К.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тел.8(3822) 516-603, вн.113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10119995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2023-4876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96.85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2023-4876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2023-4876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2023-4876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4"/>
      <w:numFmt w:val="decimal"/>
      <w:lvlText w:val="%1,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5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7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11">
    <w:name w:val="Основной текст (5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 (4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Основной текст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25">
    <w:name w:val="Заголовок №2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8">
    <w:name w:val="Подпись к таблице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0">
    <w:name w:val="Другое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3">
    <w:name w:val="Основной текст (6)_"/>
    <w:basedOn w:val="DefaultParagraphFont"/>
    <w:link w:val="Style3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5">
    <w:name w:val="Основной текст (2)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  <w:style w:type="paragraph" w:customStyle="1" w:styleId="Style2">
    <w:name w:val="Основной текст (7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Основной текст"/>
    <w:basedOn w:val="Normal"/>
    <w:link w:val="CharStyle2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24">
    <w:name w:val="Заголовок №2"/>
    <w:basedOn w:val="Normal"/>
    <w:link w:val="CharStyle25"/>
    <w:pPr>
      <w:widowControl w:val="0"/>
      <w:shd w:val="clear" w:color="auto" w:fill="auto"/>
      <w:spacing w:after="280"/>
      <w:ind w:firstLine="36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7">
    <w:name w:val="Подпись к таблице"/>
    <w:basedOn w:val="Normal"/>
    <w:link w:val="CharStyle28"/>
    <w:pPr>
      <w:widowControl w:val="0"/>
      <w:shd w:val="clear" w:color="auto" w:fill="auto"/>
      <w:ind w:firstLine="4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9">
    <w:name w:val="Другое"/>
    <w:basedOn w:val="Normal"/>
    <w:link w:val="CharStyle3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2">
    <w:name w:val="Основной текст (6)"/>
    <w:basedOn w:val="Normal"/>
    <w:link w:val="CharStyle33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4">
    <w:name w:val="Основной текст (2)"/>
    <w:basedOn w:val="Normal"/>
    <w:link w:val="CharStyle35"/>
    <w:pPr>
      <w:widowControl w:val="0"/>
      <w:shd w:val="clear" w:color="auto" w:fill="auto"/>
      <w:ind w:left="35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