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6838" w:h="23810"/>
          <w:pgMar w:top="3148" w:left="5352" w:right="10584" w:bottom="4214" w:header="0" w:footer="3" w:gutter="0"/>
          <w:rtlGutter w:val="0"/>
          <w:cols w:space="720"/>
          <w:noEndnote/>
          <w:docGrid w:linePitch="360"/>
        </w:sectPr>
      </w:pPr>
    </w:p>
    <w:p>
      <w:pPr>
        <w:widowControl w:val="0"/>
        <w:spacing w:line="188" w:lineRule="exact"/>
        <w:rPr>
          <w:sz w:val="15"/>
          <w:szCs w:val="15"/>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37"/>
        <w:ind w:left="0" w:right="0" w:firstLine="0"/>
      </w:pPr>
      <w:r>
        <w:rPr>
          <w:lang w:val="ru-RU" w:eastAsia="ru-RU" w:bidi="ru-RU"/>
          <w:w w:val="100"/>
          <w:spacing w:val="0"/>
          <w:color w:val="000000"/>
          <w:position w:val="0"/>
        </w:rPr>
        <w:t>ФЕДЕРАЛЬНАЯ А П Г И МО Н О ПОЛ ЬН АЯ СЛУЖБА</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Липецкой области (Липецкое У ФАС России)</w:t>
      </w:r>
    </w:p>
    <w:p>
      <w:pPr>
        <w:pStyle w:val="Style7"/>
        <w:widowControl w:val="0"/>
        <w:keepNext w:val="0"/>
        <w:keepLines w:val="0"/>
        <w:shd w:val="clear" w:color="auto" w:fill="auto"/>
        <w:bidi w:val="0"/>
        <w:spacing w:before="0" w:after="41"/>
        <w:ind w:left="0" w:right="0" w:firstLine="0"/>
      </w:pPr>
      <w:r>
        <w:rPr>
          <w:lang w:val="ru-RU" w:eastAsia="ru-RU" w:bidi="ru-RU"/>
          <w:w w:val="100"/>
          <w:spacing w:val="0"/>
          <w:color w:val="000000"/>
          <w:position w:val="0"/>
        </w:rPr>
        <w:t xml:space="preserve">п.ч Плеханова. I л. Липецк, 398050 теп./факс (4742) 27-14-82 </w:t>
      </w:r>
      <w:r>
        <w:rPr>
          <w:lang w:val="en-US" w:eastAsia="en-US" w:bidi="en-US"/>
          <w:w w:val="100"/>
          <w:spacing w:val="0"/>
          <w:color w:val="000000"/>
          <w:position w:val="0"/>
        </w:rPr>
        <w:t>e-mail. to48(ii fas.gov.ni Imp /</w:t>
      </w:r>
      <w:r>
        <w:fldChar w:fldCharType="begin"/>
      </w:r>
      <w:r>
        <w:rPr>
          <w:color w:val="000000"/>
        </w:rPr>
        <w:instrText> HYPERLINK "http://www.lipctsk.fas.gov.ru" </w:instrText>
      </w:r>
      <w:r>
        <w:fldChar w:fldCharType="separate"/>
      </w:r>
      <w:r>
        <w:rPr>
          <w:rStyle w:val="Hyperlink"/>
          <w:lang w:val="en-US" w:eastAsia="en-US" w:bidi="en-US"/>
          <w:w w:val="100"/>
          <w:spacing w:val="0"/>
          <w:position w:val="0"/>
        </w:rPr>
        <w:t>www.lipctsk.fas.gov.ru</w:t>
      </w:r>
      <w:r>
        <w:fldChar w:fldCharType="end"/>
      </w:r>
    </w:p>
    <w:p>
      <w:pPr>
        <w:pStyle w:val="Style9"/>
        <w:widowControl w:val="0"/>
        <w:keepNext w:val="0"/>
        <w:keepLines w:val="0"/>
        <w:shd w:val="clear" w:color="auto" w:fill="auto"/>
        <w:bidi w:val="0"/>
        <w:spacing w:before="0" w:after="0" w:line="230" w:lineRule="exact"/>
        <w:ind w:left="0" w:right="0" w:firstLine="0"/>
      </w:pPr>
      <w:r>
        <w:rPr>
          <w:w w:val="100"/>
          <w:color w:val="000000"/>
          <w:position w:val="0"/>
        </w:rPr>
        <w:t>Ai</w:t>
      </w:r>
    </w:p>
    <w:p>
      <w:pPr>
        <w:pStyle w:val="Style11"/>
        <w:widowControl w:val="0"/>
        <w:keepNext w:val="0"/>
        <w:keepLines w:val="0"/>
        <w:shd w:val="clear" w:color="auto" w:fill="auto"/>
        <w:bidi w:val="0"/>
        <w:jc w:val="left"/>
        <w:spacing w:before="0" w:after="722"/>
        <w:ind w:left="20" w:right="0" w:firstLine="0"/>
      </w:pPr>
      <w:r>
        <w:rPr>
          <w:lang w:val="ru-RU" w:eastAsia="ru-RU" w:bidi="ru-RU"/>
          <w:sz w:val="24"/>
          <w:szCs w:val="24"/>
          <w:w w:val="100"/>
          <w:color w:val="000000"/>
          <w:position w:val="0"/>
        </w:rPr>
        <w:t>ФГКУ "Управление вневедомственной охраны войск национальной гвардии Российской Федерации по Липецкой области"</w:t>
      </w:r>
    </w:p>
    <w:p>
      <w:pPr>
        <w:pStyle w:val="Style11"/>
        <w:widowControl w:val="0"/>
        <w:keepNext w:val="0"/>
        <w:keepLines w:val="0"/>
        <w:shd w:val="clear" w:color="auto" w:fill="auto"/>
        <w:bidi w:val="0"/>
        <w:jc w:val="left"/>
        <w:spacing w:before="0" w:after="0" w:line="240" w:lineRule="exact"/>
        <w:ind w:left="20" w:right="0" w:firstLine="0"/>
        <w:sectPr>
          <w:type w:val="continuous"/>
          <w:pgSz w:w="16838" w:h="23810"/>
          <w:pgMar w:top="3148" w:left="3725" w:right="3408" w:bottom="4214" w:header="0" w:footer="3" w:gutter="0"/>
          <w:rtlGutter w:val="0"/>
          <w:cols w:num="2" w:space="1334"/>
          <w:noEndnote/>
          <w:docGrid w:linePitch="360"/>
        </w:sectPr>
      </w:pPr>
      <w:r>
        <w:fldChar w:fldCharType="begin"/>
      </w:r>
      <w:r>
        <w:rPr>
          <w:color w:val="000000"/>
        </w:rPr>
        <w:instrText> HYPERLINK "mailto:uvoteh@mail.ru" </w:instrText>
      </w:r>
      <w:r>
        <w:fldChar w:fldCharType="separate"/>
      </w:r>
      <w:r>
        <w:rPr>
          <w:rStyle w:val="Hyperlink"/>
          <w:lang w:val="en-US" w:eastAsia="en-US" w:bidi="en-US"/>
          <w:sz w:val="24"/>
          <w:szCs w:val="24"/>
          <w:w w:val="100"/>
          <w:position w:val="0"/>
        </w:rPr>
        <w:t>uvoteh@mail.ru</w:t>
      </w:r>
      <w:r>
        <w:fldChar w:fldCharType="end"/>
      </w:r>
    </w:p>
    <w:p>
      <w:pPr>
        <w:widowControl w:val="0"/>
        <w:spacing w:before="109" w:after="10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framePr w:h="165" w:wrap="around" w:hAnchor="margin" w:x="-5500" w:y="4674"/>
        <w:widowControl w:val="0"/>
        <w:keepNext w:val="0"/>
        <w:keepLines w:val="0"/>
        <w:shd w:val="clear" w:color="auto" w:fill="auto"/>
        <w:bidi w:val="0"/>
        <w:jc w:val="left"/>
        <w:spacing w:before="0" w:after="0" w:line="150" w:lineRule="exact"/>
        <w:ind w:left="0" w:right="0" w:firstLine="0"/>
      </w:pPr>
      <w:r>
        <w:rPr>
          <w:rStyle w:val="CharStyle13"/>
          <w:spacing w:val="0"/>
        </w:rPr>
        <w:t>Ha V.</w:t>
      </w:r>
    </w:p>
    <w:p>
      <w:pPr>
        <w:pStyle w:val="Style14"/>
        <w:framePr w:h="132" w:wrap="around" w:hAnchor="margin" w:x="-3570" w:y="4717"/>
        <w:widowControl w:val="0"/>
        <w:keepNext w:val="0"/>
        <w:keepLines w:val="0"/>
        <w:shd w:val="clear" w:color="auto" w:fill="auto"/>
        <w:bidi w:val="0"/>
        <w:jc w:val="left"/>
        <w:spacing w:before="0" w:after="0" w:line="130" w:lineRule="exact"/>
        <w:ind w:left="0" w:right="0" w:firstLine="0"/>
      </w:pPr>
      <w:r>
        <w:rPr>
          <w:lang w:val="ru-RU" w:eastAsia="ru-RU" w:bidi="ru-RU"/>
          <w:w w:val="100"/>
          <w:spacing w:val="0"/>
          <w:color w:val="000000"/>
          <w:position w:val="0"/>
        </w:rPr>
        <w:t>ОТ</w:t>
      </w:r>
    </w:p>
    <w:p>
      <w:pPr>
        <w:pStyle w:val="Style11"/>
        <w:widowControl w:val="0"/>
        <w:keepNext w:val="0"/>
        <w:keepLines w:val="0"/>
        <w:shd w:val="clear" w:color="auto" w:fill="auto"/>
        <w:bidi w:val="0"/>
        <w:jc w:val="left"/>
        <w:spacing w:before="0" w:after="665" w:line="322" w:lineRule="exact"/>
        <w:ind w:left="20" w:right="220" w:firstLine="0"/>
      </w:pPr>
      <w:r>
        <w:rPr>
          <w:lang w:val="ru-RU" w:eastAsia="ru-RU" w:bidi="ru-RU"/>
          <w:sz w:val="24"/>
          <w:szCs w:val="24"/>
          <w:w w:val="100"/>
          <w:color w:val="000000"/>
          <w:position w:val="0"/>
        </w:rPr>
        <w:t>Областное бюджетное учреждение «У полномоченный многофункциональный центр предоставления государственных и муниципальных услуг Липецкой области»</w:t>
      </w:r>
    </w:p>
    <w:p>
      <w:pPr>
        <w:pStyle w:val="Style11"/>
        <w:widowControl w:val="0"/>
        <w:keepNext w:val="0"/>
        <w:keepLines w:val="0"/>
        <w:shd w:val="clear" w:color="auto" w:fill="auto"/>
        <w:bidi w:val="0"/>
        <w:jc w:val="left"/>
        <w:spacing w:before="0" w:after="614" w:line="240" w:lineRule="exact"/>
        <w:ind w:left="20" w:right="0" w:firstLine="0"/>
      </w:pPr>
      <w:r>
        <w:fldChar w:fldCharType="begin"/>
      </w:r>
      <w:r>
        <w:rPr>
          <w:color w:val="000000"/>
        </w:rPr>
        <w:instrText> HYPERLINK "mailto:umfc48@yandex.ru" </w:instrText>
      </w:r>
      <w:r>
        <w:fldChar w:fldCharType="separate"/>
      </w:r>
      <w:r>
        <w:rPr>
          <w:rStyle w:val="Hyperlink"/>
          <w:lang w:val="en-US" w:eastAsia="en-US" w:bidi="en-US"/>
          <w:sz w:val="24"/>
          <w:szCs w:val="24"/>
          <w:w w:val="100"/>
          <w:position w:val="0"/>
        </w:rPr>
        <w:t>umfc48@yandex.ru</w:t>
      </w:r>
      <w:r>
        <w:fldChar w:fldCharType="end"/>
      </w:r>
    </w:p>
    <w:p>
      <w:pPr>
        <w:pStyle w:val="Style11"/>
        <w:widowControl w:val="0"/>
        <w:keepNext w:val="0"/>
        <w:keepLines w:val="0"/>
        <w:shd w:val="clear" w:color="auto" w:fill="auto"/>
        <w:bidi w:val="0"/>
        <w:jc w:val="left"/>
        <w:spacing w:before="0" w:after="658" w:line="312" w:lineRule="exact"/>
        <w:ind w:left="20" w:right="220" w:firstLine="0"/>
      </w:pPr>
      <w:r>
        <w:rPr>
          <w:lang w:val="ru-RU" w:eastAsia="ru-RU" w:bidi="ru-RU"/>
          <w:sz w:val="24"/>
          <w:szCs w:val="24"/>
          <w:w w:val="100"/>
          <w:color w:val="000000"/>
          <w:position w:val="0"/>
        </w:rPr>
        <w:t>Управление по размещению госзаказа Липецкой области</w:t>
      </w:r>
    </w:p>
    <w:p>
      <w:pPr>
        <w:pStyle w:val="Style11"/>
        <w:widowControl w:val="0"/>
        <w:keepNext w:val="0"/>
        <w:keepLines w:val="0"/>
        <w:shd w:val="clear" w:color="auto" w:fill="auto"/>
        <w:bidi w:val="0"/>
        <w:jc w:val="left"/>
        <w:spacing w:before="0" w:after="672" w:line="240" w:lineRule="exact"/>
        <w:ind w:left="20" w:right="0" w:firstLine="0"/>
      </w:pPr>
      <w:r>
        <w:fldChar w:fldCharType="begin"/>
      </w:r>
      <w:r>
        <w:rPr>
          <w:color w:val="000000"/>
        </w:rPr>
        <w:instrText> HYPERLINK "mailto:reception@dgo.lipetsk.ru" </w:instrText>
      </w:r>
      <w:r>
        <w:fldChar w:fldCharType="separate"/>
      </w:r>
      <w:r>
        <w:rPr>
          <w:rStyle w:val="Hyperlink"/>
          <w:lang w:val="en-US" w:eastAsia="en-US" w:bidi="en-US"/>
          <w:sz w:val="24"/>
          <w:szCs w:val="24"/>
          <w:w w:val="100"/>
          <w:position w:val="0"/>
        </w:rPr>
        <w:t>reception@dgo.lipetsk.ru</w:t>
      </w:r>
      <w:r>
        <w:fldChar w:fldCharType="end"/>
      </w:r>
    </w:p>
    <w:p>
      <w:pPr>
        <w:pStyle w:val="Style11"/>
        <w:widowControl w:val="0"/>
        <w:keepNext w:val="0"/>
        <w:keepLines w:val="0"/>
        <w:shd w:val="clear" w:color="auto" w:fill="auto"/>
        <w:bidi w:val="0"/>
        <w:jc w:val="left"/>
        <w:spacing w:before="0" w:after="677" w:line="240" w:lineRule="exact"/>
        <w:ind w:left="20" w:right="0" w:firstLine="0"/>
      </w:pPr>
      <w:r>
        <w:rPr>
          <w:lang w:val="ru-RU" w:eastAsia="ru-RU" w:bidi="ru-RU"/>
          <w:sz w:val="24"/>
          <w:szCs w:val="24"/>
          <w:w w:val="100"/>
          <w:color w:val="000000"/>
          <w:position w:val="0"/>
        </w:rPr>
        <w:t>ЗАО «Сбербанк - АСТ»</w:t>
      </w:r>
    </w:p>
    <w:p>
      <w:pPr>
        <w:pStyle w:val="Style11"/>
        <w:widowControl w:val="0"/>
        <w:keepNext w:val="0"/>
        <w:keepLines w:val="0"/>
        <w:shd w:val="clear" w:color="auto" w:fill="auto"/>
        <w:bidi w:val="0"/>
        <w:jc w:val="left"/>
        <w:spacing w:before="0" w:after="0" w:line="240" w:lineRule="exact"/>
        <w:ind w:left="20" w:right="0" w:firstLine="0"/>
        <w:sectPr>
          <w:type w:val="continuous"/>
          <w:pgSz w:w="16838" w:h="23810"/>
          <w:pgMar w:top="3148" w:left="9249" w:right="3163" w:bottom="4214" w:header="0" w:footer="3" w:gutter="0"/>
          <w:rtlGutter w:val="0"/>
          <w:cols w:space="720"/>
          <w:noEndnote/>
          <w:docGrid w:linePitch="360"/>
        </w:sectPr>
      </w:pPr>
      <w:r>
        <w:fldChar w:fldCharType="begin"/>
      </w:r>
      <w:r>
        <w:rPr>
          <w:color w:val="000000"/>
        </w:rPr>
        <w:instrText> HYPERLINK "mailto:ko@sberbank-ast.ru" </w:instrText>
      </w:r>
      <w:r>
        <w:fldChar w:fldCharType="separate"/>
      </w:r>
      <w:r>
        <w:rPr>
          <w:rStyle w:val="Hyperlink"/>
          <w:lang w:val="en-US" w:eastAsia="en-US" w:bidi="en-US"/>
          <w:sz w:val="24"/>
          <w:szCs w:val="24"/>
          <w:w w:val="100"/>
          <w:position w:val="0"/>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0" w:after="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0" w:line="240" w:lineRule="exact"/>
        <w:ind w:left="0" w:right="0" w:firstLine="0"/>
        <w:sectPr>
          <w:type w:val="continuous"/>
          <w:pgSz w:w="16838" w:h="23810"/>
          <w:pgMar w:top="3148" w:left="7536" w:right="6350" w:bottom="4214" w:header="0" w:footer="3" w:gutter="0"/>
          <w:rtlGutter w:val="0"/>
          <w:cols w:space="720"/>
          <w:noEndnote/>
          <w:docGrid w:linePitch="360"/>
        </w:sectPr>
      </w:pPr>
      <w:r>
        <w:rPr>
          <w:lang w:val="ru-RU" w:eastAsia="ru-RU" w:bidi="ru-RU"/>
          <w:sz w:val="24"/>
          <w:szCs w:val="24"/>
          <w:w w:val="100"/>
          <w:color w:val="000000"/>
          <w:position w:val="0"/>
        </w:rPr>
        <w:t>РЕШЕНИЕ № 377с/17</w:t>
      </w:r>
    </w:p>
    <w:p>
      <w:pPr>
        <w:widowControl w:val="0"/>
        <w:spacing w:before="80" w:after="8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1"/>
        <w:framePr w:h="233" w:wrap="around" w:vAnchor="text" w:hAnchor="margin" w:x="8289" w:y="1"/>
        <w:widowControl w:val="0"/>
        <w:keepNext w:val="0"/>
        <w:keepLines w:val="0"/>
        <w:shd w:val="clear" w:color="auto" w:fill="auto"/>
        <w:bidi w:val="0"/>
        <w:jc w:val="left"/>
        <w:spacing w:before="0" w:after="0" w:line="230" w:lineRule="exact"/>
        <w:ind w:left="100" w:right="0" w:firstLine="0"/>
      </w:pPr>
      <w:r>
        <w:rPr>
          <w:rStyle w:val="CharStyle16"/>
          <w:spacing w:val="10"/>
        </w:rPr>
        <w:t>г. Липецк</w:t>
      </w:r>
    </w:p>
    <w:p>
      <w:pPr>
        <w:pStyle w:val="Style11"/>
        <w:widowControl w:val="0"/>
        <w:keepNext w:val="0"/>
        <w:keepLines w:val="0"/>
        <w:shd w:val="clear" w:color="auto" w:fill="auto"/>
        <w:bidi w:val="0"/>
        <w:jc w:val="left"/>
        <w:spacing w:before="0" w:after="306" w:line="240" w:lineRule="exact"/>
        <w:ind w:left="0" w:right="0" w:firstLine="0"/>
      </w:pPr>
      <w:r>
        <w:rPr>
          <w:lang w:val="ru-RU" w:eastAsia="ru-RU" w:bidi="ru-RU"/>
          <w:sz w:val="24"/>
          <w:szCs w:val="24"/>
          <w:w w:val="100"/>
          <w:color w:val="000000"/>
          <w:position w:val="0"/>
        </w:rPr>
        <w:t>«13» ноября 2017 года</w:t>
      </w:r>
    </w:p>
    <w:p>
      <w:pPr>
        <w:pStyle w:val="Style11"/>
        <w:widowControl w:val="0"/>
        <w:keepNext w:val="0"/>
        <w:keepLines w:val="0"/>
        <w:shd w:val="clear" w:color="auto" w:fill="auto"/>
        <w:bidi w:val="0"/>
        <w:jc w:val="left"/>
        <w:spacing w:before="0" w:after="300"/>
        <w:ind w:left="720" w:right="280" w:firstLine="0"/>
      </w:pPr>
      <w:r>
        <w:rPr>
          <w:lang w:val="ru-RU" w:eastAsia="ru-RU" w:bidi="ru-RU"/>
          <w:sz w:val="24"/>
          <w:szCs w:val="24"/>
          <w:w w:val="100"/>
          <w:color w:val="000000"/>
          <w:position w:val="0"/>
        </w:rPr>
        <w:t>Резолютивная часть решения оглашена 13.11.2017. Решение в полном объеме изготовлено 15.11.2017.</w:t>
      </w:r>
    </w:p>
    <w:p>
      <w:pPr>
        <w:pStyle w:val="Style11"/>
        <w:widowControl w:val="0"/>
        <w:keepNext w:val="0"/>
        <w:keepLines w:val="0"/>
        <w:shd w:val="clear" w:color="auto" w:fill="auto"/>
        <w:bidi w:val="0"/>
        <w:jc w:val="both"/>
        <w:spacing w:before="0" w:after="0"/>
        <w:ind w:left="0" w:right="580" w:firstLine="720"/>
      </w:pPr>
      <w:r>
        <w:rPr>
          <w:lang w:val="ru-RU" w:eastAsia="ru-RU" w:bidi="ru-RU"/>
          <w:sz w:val="24"/>
          <w:szCs w:val="24"/>
          <w:w w:val="100"/>
          <w:color w:val="000000"/>
          <w:position w:val="0"/>
        </w:rPr>
        <w:t>Комиссия Липецкого У 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1"/>
        <w:widowControl w:val="0"/>
        <w:keepNext w:val="0"/>
        <w:keepLines w:val="0"/>
        <w:shd w:val="clear" w:color="auto" w:fill="auto"/>
        <w:bidi w:val="0"/>
        <w:jc w:val="left"/>
        <w:spacing w:before="0" w:after="0"/>
        <w:ind w:left="720" w:right="0" w:firstLine="0"/>
      </w:pPr>
      <w:r>
        <w:rPr>
          <w:lang w:val="ru-RU" w:eastAsia="ru-RU" w:bidi="ru-RU"/>
          <w:sz w:val="24"/>
          <w:szCs w:val="24"/>
          <w:w w:val="100"/>
          <w:color w:val="000000"/>
          <w:position w:val="0"/>
        </w:rPr>
        <w:t>председатель Комиссии - И.В. Поткина - руководитель Управленцу]. ГУ 6 3</w:t>
      </w:r>
      <w:r>
        <w:br w:type="page"/>
      </w:r>
    </w:p>
    <w:p>
      <w:pPr>
        <w:pStyle w:val="Style11"/>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заместитель председателя Комиссии - Т.Н. Ролдугина - начальник отдела контроля закупок и торгов;</w:t>
      </w:r>
    </w:p>
    <w:p>
      <w:pPr>
        <w:pStyle w:val="Style11"/>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член Комиссии: О.И. Панина- ведущий специалист-эксперт отдела контроля закупок и торгов,</w:t>
      </w:r>
    </w:p>
    <w:p>
      <w:pPr>
        <w:pStyle w:val="Style11"/>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в присутствии представителей:</w:t>
      </w:r>
    </w:p>
    <w:p>
      <w:pPr>
        <w:pStyle w:val="Style11"/>
        <w:numPr>
          <w:ilvl w:val="0"/>
          <w:numId w:val="1"/>
        </w:numPr>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 xml:space="preserve"> заявителя - федерального государственного казенного учреждения "Управление вневедомственной охраны войск национальной гвардии Российской Федерации по Липецкой области" - Крупинского Р.Н. (доверенность от 09.11.2017), Суховой А.Н. (доверенность от 09.11.2017), Потапова В.А. (доверенность от 08.11.2017),</w:t>
      </w:r>
    </w:p>
    <w:p>
      <w:pPr>
        <w:pStyle w:val="Style11"/>
        <w:numPr>
          <w:ilvl w:val="0"/>
          <w:numId w:val="1"/>
        </w:numPr>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 xml:space="preserve"> заказчика - областного бюджетного учреждения «Уполномоченный многофункциональный центр предоставления государственных и муниципальных услуг Липецкой области» - Селяниной М.В. (директор), Поповой Т.Н. (доверенность от 10.11.2017),</w:t>
      </w:r>
    </w:p>
    <w:p>
      <w:pPr>
        <w:pStyle w:val="Style11"/>
        <w:numPr>
          <w:ilvl w:val="0"/>
          <w:numId w:val="1"/>
        </w:numPr>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 xml:space="preserve"> уполномоченного органа - управления по размещению госзаказа Липецкой области - Горбуновой Е.А. (доверенности от 10.11.2017, от 13.11.2017),</w:t>
      </w:r>
    </w:p>
    <w:p>
      <w:pPr>
        <w:pStyle w:val="Style11"/>
        <w:widowControl w:val="0"/>
        <w:keepNext w:val="0"/>
        <w:keepLines w:val="0"/>
        <w:shd w:val="clear" w:color="auto" w:fill="auto"/>
        <w:bidi w:val="0"/>
        <w:jc w:val="both"/>
        <w:spacing w:before="0" w:after="362"/>
        <w:ind w:left="20" w:right="80" w:firstLine="700"/>
      </w:pPr>
      <w:r>
        <w:rPr>
          <w:lang w:val="ru-RU" w:eastAsia="ru-RU" w:bidi="ru-RU"/>
          <w:sz w:val="24"/>
          <w:szCs w:val="24"/>
          <w:w w:val="100"/>
          <w:color w:val="000000"/>
          <w:position w:val="0"/>
        </w:rPr>
        <w:t>рассмотрев жалобу федерального государственного казенного учреждения "Управление вневедомственной охраны войск национальной гвардии Российской Федерации по Липецкой области" на положения документации об электронном аукционе №17-ЭА2-2252: услуги по охране имущества посредством централизованного наблюдения с помощью системы передачи оперативных данных (пультовая охрана) (реестровый номер 0146200002017001942) (далее- электронный аукцион),</w:t>
      </w:r>
    </w:p>
    <w:p>
      <w:pPr>
        <w:pStyle w:val="Style11"/>
        <w:widowControl w:val="0"/>
        <w:keepNext w:val="0"/>
        <w:keepLines w:val="0"/>
        <w:shd w:val="clear" w:color="auto" w:fill="auto"/>
        <w:bidi w:val="0"/>
        <w:jc w:val="center"/>
        <w:spacing w:before="0" w:after="311" w:line="240" w:lineRule="exact"/>
        <w:ind w:left="60" w:right="0" w:firstLine="0"/>
      </w:pPr>
      <w:r>
        <w:rPr>
          <w:rStyle w:val="CharStyle17"/>
        </w:rPr>
        <w:t>УСТАНОВИЛА:</w:t>
      </w:r>
    </w:p>
    <w:p>
      <w:pPr>
        <w:pStyle w:val="Style11"/>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В адрес Липецкого УФАС России 03.11.2017 поступила жалоба федерального государственного казенного учреждения "Управление вневедомственной охраны войск национальной гвардии Российской Федерации по Липецкой области" на положения документации об электронном аукционе.</w:t>
      </w:r>
    </w:p>
    <w:p>
      <w:pPr>
        <w:pStyle w:val="Style11"/>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11"/>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в разделе «жалобы».</w:t>
      </w:r>
    </w:p>
    <w:p>
      <w:pPr>
        <w:pStyle w:val="Style11"/>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Рассмотрение жалобы назначено на 10.11.2017.</w:t>
      </w:r>
    </w:p>
    <w:p>
      <w:pPr>
        <w:pStyle w:val="Style11"/>
        <w:widowControl w:val="0"/>
        <w:keepNext w:val="0"/>
        <w:keepLines w:val="0"/>
        <w:shd w:val="clear" w:color="auto" w:fill="auto"/>
        <w:bidi w:val="0"/>
        <w:jc w:val="both"/>
        <w:spacing w:before="0" w:after="0"/>
        <w:ind w:left="20" w:right="80" w:firstLine="700"/>
      </w:pPr>
      <w:r>
        <w:rPr>
          <w:lang w:val="ru-RU" w:eastAsia="ru-RU" w:bidi="ru-RU"/>
          <w:sz w:val="24"/>
          <w:szCs w:val="24"/>
          <w:w w:val="100"/>
          <w:color w:val="000000"/>
          <w:position w:val="0"/>
        </w:rPr>
        <w:t>В связи с необходимостью получения дополнительных документов от сторон Комиссией объявлен перерыв до 10:40 час. 13.11.2017.</w:t>
      </w:r>
    </w:p>
    <w:p>
      <w:pPr>
        <w:pStyle w:val="Style11"/>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На заседании комиссии велась аудиозапись.</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Представители федерального государственного казенного учреждения "Управление вневедомственной охраны войск национальной гвардии Российской Федерации по Липецкой области" по доводам жалобы пояснили, что в документация об электронном аукционе составлена с рядом нарушений Закона о контрактной системе:</w:t>
      </w:r>
    </w:p>
    <w:p>
      <w:pPr>
        <w:pStyle w:val="Style11"/>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заказчик не установил требование к участникам закупки о наличии права для охраны объектов, на которые частная охранная деятельность не распространяется, поскольку объект заказчика, в силу положений п. 8 Постановления Правительства РФ № 587, не подлежит охране частными охранными предприятиями;</w:t>
      </w:r>
    </w:p>
    <w:p>
      <w:pPr>
        <w:pStyle w:val="Style11"/>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согласно техническому заданию, исполнитель, дополнительно в рамках охранных функций, обязан провести технические работы по установке систем охранной и тревожной сигнализации, что противоречит требованиям ч. 1 ст. 17 Закона о защите конкуренции;</w:t>
      </w:r>
    </w:p>
    <w:p>
      <w:pPr>
        <w:pStyle w:val="Style11"/>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заказчик установил, что услуги оказываются круглосуточно, но при этом, не определяет время оказания услуг,</w:t>
      </w:r>
    </w:p>
    <w:p>
      <w:pPr>
        <w:pStyle w:val="Style11"/>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проведенное заказчиком обоснование начальной (максимальной) цены контракта посредством получения коммерческих предложений от частных охранных предприятий, которые не вправе оказывать услуги заказчику.</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Представители заказчика и уполномоченного органа не согласны с жалобой, представили письменные возражения на жалобу.</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До рассмотрения жалобы по существу председателем Комиссии разъяснено, что в рамках рассмотрения жалобы заявителя 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осуществляющая свои полномочия в рамках норм Закона контрактной системе, не вправе давать оценку указанным действиям заказчика по установлению нарушений Федерального закона от 26.07.2006 №135-Ф3 «О защите конкуренции».</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Рассмотрев жалобу и приложенные к ней материалы, а также другие документы (копии), представленные сторонами, заслушав мнение представителей сторон, проведя внеплановую проверку, Комиссия Липецкого УФАС России установила следующее.</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w:t>
      </w:r>
    </w:p>
    <w:p>
      <w:pPr>
        <w:pStyle w:val="Style11"/>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Начальная (максимальная) цена контракта составляет 120 000.00 руб.</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Рассмотрев жалобу заявителя, Комиссия признает ее необоснованной по следующим основаниям.</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Объектом закупки являются услуги по охране имущества посредством централизованного наблюдения с помощью системы передачи оперативных данных (пультовая охрана).</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В соответствии с Законом Российской Федерации от 11.03.1992 </w:t>
      </w:r>
      <w:r>
        <w:rPr>
          <w:lang w:val="en-US" w:eastAsia="en-US" w:bidi="en-US"/>
          <w:sz w:val="24"/>
          <w:szCs w:val="24"/>
          <w:w w:val="100"/>
          <w:color w:val="000000"/>
          <w:position w:val="0"/>
        </w:rPr>
        <w:t xml:space="preserve">N </w:t>
      </w:r>
      <w:r>
        <w:rPr>
          <w:lang w:val="ru-RU" w:eastAsia="ru-RU" w:bidi="ru-RU"/>
          <w:sz w:val="24"/>
          <w:szCs w:val="24"/>
          <w:w w:val="100"/>
          <w:color w:val="000000"/>
          <w:position w:val="0"/>
        </w:rPr>
        <w:t>2487-1 "О частной детективной и охранной деятельности в Российской Федерации" частная детективная и охранная деятельность определяется как оказание на возмездной договорной основе услуг физическим и юридическим лицам имеющими специальное разрешение (лицензию), полученную в соответствии с настоящим Законом, организациями и индивидуальными предпринимателями в целях защиты законных прав и интересов своих клиентов.</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Согласно ст. 11 Закона Российской Федерации от 11.03.1992 </w:t>
      </w:r>
      <w:r>
        <w:rPr>
          <w:lang w:val="en-US" w:eastAsia="en-US" w:bidi="en-US"/>
          <w:sz w:val="24"/>
          <w:szCs w:val="24"/>
          <w:w w:val="100"/>
          <w:color w:val="000000"/>
          <w:position w:val="0"/>
        </w:rPr>
        <w:t xml:space="preserve">N </w:t>
      </w:r>
      <w:r>
        <w:rPr>
          <w:lang w:val="ru-RU" w:eastAsia="ru-RU" w:bidi="ru-RU"/>
          <w:sz w:val="24"/>
          <w:szCs w:val="24"/>
          <w:w w:val="100"/>
          <w:color w:val="000000"/>
          <w:position w:val="0"/>
        </w:rPr>
        <w:t xml:space="preserve">2487-1 "О частной детективной и охранной деятельности в Российской Федерации" частная охранная деятельность не распространяется на объекты государственной охраны и охраняемые объекты, предусмотренные Федеральным законом от 27 мая 1996 года </w:t>
      </w:r>
      <w:r>
        <w:rPr>
          <w:lang w:val="en-US" w:eastAsia="en-US" w:bidi="en-US"/>
          <w:sz w:val="24"/>
          <w:szCs w:val="24"/>
          <w:w w:val="100"/>
          <w:color w:val="000000"/>
          <w:position w:val="0"/>
        </w:rPr>
        <w:t xml:space="preserve">N </w:t>
      </w:r>
      <w:r>
        <w:rPr>
          <w:lang w:val="ru-RU" w:eastAsia="ru-RU" w:bidi="ru-RU"/>
          <w:sz w:val="24"/>
          <w:szCs w:val="24"/>
          <w:w w:val="100"/>
          <w:color w:val="000000"/>
          <w:position w:val="0"/>
        </w:rPr>
        <w:t>57-ФЗ "О государственной охране", а также на объекты, перечень которых утверждается Правительством Российской Федерации. Охранным организациям разрешается оказывать услуги в виде вооруженной охраны имущества в порядке, установленном Правительством Российской Федерации, а также использовать технические и иные средства, не причиняющие вреда жизни и здоровью граждан и окружающей среде, средства оперативной радио- и телефонной связи.</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Постановлением Правительства Российской Федерации от 14.08.1992 </w:t>
      </w:r>
      <w:r>
        <w:rPr>
          <w:lang w:val="en-US" w:eastAsia="en-US" w:bidi="en-US"/>
          <w:sz w:val="24"/>
          <w:szCs w:val="24"/>
          <w:w w:val="100"/>
          <w:color w:val="000000"/>
          <w:position w:val="0"/>
        </w:rPr>
        <w:t xml:space="preserve">N </w:t>
      </w:r>
      <w:r>
        <w:rPr>
          <w:lang w:val="ru-RU" w:eastAsia="ru-RU" w:bidi="ru-RU"/>
          <w:sz w:val="24"/>
          <w:szCs w:val="24"/>
          <w:w w:val="100"/>
          <w:color w:val="000000"/>
          <w:position w:val="0"/>
        </w:rPr>
        <w:t>587 "Вопросы частной детективной (сыскной) и частной охранной деятельности" утвержден перечень объектов, на которые частная охранная деятельность не распространяется (далее - Перечень).</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Данный Перечень содержит пункт 8 «Объекты по производству и хранению государственных наград, монет, денежных знаков и защищенной полиграфической продукции».</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Из буквального толкования данного пункта следует, что частная охранная деятельность не распространяется на объекты, в которых производится, в частности, защищенная полиграфическая продукция и осуществляется ее хранение.</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Таким образом, производство и хранение защищенной полиграфической продукции предполагается на одном объекте, который включен в Перечень,</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Кроме этого, необходимо отметить, что согласно положениям ст. 12 Федерального закона от 04.05.2011 </w:t>
      </w:r>
      <w:r>
        <w:rPr>
          <w:lang w:val="en-US" w:eastAsia="en-US" w:bidi="en-US"/>
          <w:sz w:val="24"/>
          <w:szCs w:val="24"/>
          <w:w w:val="100"/>
          <w:color w:val="000000"/>
          <w:position w:val="0"/>
        </w:rPr>
        <w:t xml:space="preserve">N </w:t>
      </w:r>
      <w:r>
        <w:rPr>
          <w:lang w:val="ru-RU" w:eastAsia="ru-RU" w:bidi="ru-RU"/>
          <w:sz w:val="24"/>
          <w:szCs w:val="24"/>
          <w:w w:val="100"/>
          <w:color w:val="000000"/>
          <w:position w:val="0"/>
        </w:rPr>
        <w:t>99-ФЗ "О лицензировании отдельных видов деятельности" лицензированию подлежит деятельность по производству и реализации защищенной от подделок полиграфической продукции.</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Постановлением Правительства Российской Федерации от 24.09.2012 </w:t>
      </w:r>
      <w:r>
        <w:rPr>
          <w:lang w:val="en-US" w:eastAsia="en-US" w:bidi="en-US"/>
          <w:sz w:val="24"/>
          <w:szCs w:val="24"/>
          <w:w w:val="100"/>
          <w:color w:val="000000"/>
          <w:position w:val="0"/>
        </w:rPr>
        <w:t xml:space="preserve">N </w:t>
      </w:r>
      <w:r>
        <w:rPr>
          <w:lang w:val="ru-RU" w:eastAsia="ru-RU" w:bidi="ru-RU"/>
          <w:sz w:val="24"/>
          <w:szCs w:val="24"/>
          <w:w w:val="100"/>
          <w:color w:val="000000"/>
          <w:position w:val="0"/>
        </w:rPr>
        <w:t>965 утверждено Положение о лицензировании деятельности по производству и реализации защищенной от подделок полиграфической продукции.</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Пунктом 2 данного Положения установлено, что производство защищенной от подделок полиграфической продукции" - законченный цикл полиграфических работ, включающий разработку оригинал-макета, изготовление фотоформ и печатных форм, печать и отделку продукции с использованием высокозащищенных трудновоспроизводимых технологий производства защитных элементов, информация о которых является конфиденциальной, нанесение нумерации, а также учет изготовленной защищенной от подделок полиграфической продукции на всех этапах ее производства и хранения.</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При рассмотрении жалобы установлено, что в помещениях заказчика, подлежащих охране по итогам проведения электронного аукциона, не осуществляется производство и хранение защищенной полиграфической продукции, как единый процесс осуществления деятельности.</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связи с вышеизложенным, оснований по п. 8 Перечня для установления ограничения в отношении частных охранных предприятий по участию в электронном аукционе у заказчика не было.</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со ст. 3 Закона Российской Федерации от 11.03.1992 № 2487-1 "О частной детективной и охранной деятельности в Российской Федерации" в целях охраны разрешается предоставление следующих видов услуг:</w:t>
      </w:r>
    </w:p>
    <w:p>
      <w:pPr>
        <w:pStyle w:val="Style11"/>
        <w:numPr>
          <w:ilvl w:val="0"/>
          <w:numId w:val="5"/>
        </w:numPr>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 xml:space="preserve"> защита жизни и здоровья граждан;</w:t>
      </w:r>
    </w:p>
    <w:p>
      <w:pPr>
        <w:pStyle w:val="Style11"/>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w:t>
      </w:r>
    </w:p>
    <w:p>
      <w:pPr>
        <w:pStyle w:val="Style11"/>
        <w:numPr>
          <w:ilvl w:val="0"/>
          <w:numId w:val="5"/>
        </w:numPr>
        <w:widowControl w:val="0"/>
        <w:keepNext w:val="0"/>
        <w:keepLines w:val="0"/>
        <w:shd w:val="clear" w:color="auto" w:fill="auto"/>
        <w:bidi w:val="0"/>
        <w:jc w:val="both"/>
        <w:spacing w:before="0" w:after="0" w:line="322" w:lineRule="exact"/>
        <w:ind w:left="20" w:right="20" w:firstLine="700"/>
      </w:pPr>
      <w:r>
        <w:rPr>
          <w:rStyle w:val="CharStyle18"/>
        </w:rPr>
        <w:t xml:space="preserve"> охрана объектов и (или) имущества на объектах с осуществлением</w:t>
      </w:r>
      <w:r>
        <w:rPr>
          <w:lang w:val="ru-RU" w:eastAsia="ru-RU" w:bidi="ru-RU"/>
          <w:sz w:val="24"/>
          <w:szCs w:val="24"/>
          <w:w w:val="100"/>
          <w:color w:val="000000"/>
          <w:position w:val="0"/>
        </w:rPr>
        <w:t xml:space="preserve"> </w:t>
      </w:r>
      <w:r>
        <w:rPr>
          <w:rStyle w:val="CharStyle18"/>
        </w:rPr>
        <w:t>работ по проектированию, монтажу и эксплуатационному обслуживанию</w:t>
      </w:r>
      <w:r>
        <w:rPr>
          <w:lang w:val="ru-RU" w:eastAsia="ru-RU" w:bidi="ru-RU"/>
          <w:sz w:val="24"/>
          <w:szCs w:val="24"/>
          <w:w w:val="100"/>
          <w:color w:val="000000"/>
          <w:position w:val="0"/>
        </w:rPr>
        <w:t xml:space="preserve"> </w:t>
      </w:r>
      <w:r>
        <w:rPr>
          <w:rStyle w:val="CharStyle18"/>
        </w:rPr>
        <w:t>технических средств охраны, перечень видов которых устанавливается</w:t>
      </w:r>
      <w:r>
        <w:rPr>
          <w:lang w:val="ru-RU" w:eastAsia="ru-RU" w:bidi="ru-RU"/>
          <w:sz w:val="24"/>
          <w:szCs w:val="24"/>
          <w:w w:val="100"/>
          <w:color w:val="000000"/>
          <w:position w:val="0"/>
        </w:rPr>
        <w:t xml:space="preserve"> </w:t>
      </w:r>
      <w:r>
        <w:rPr>
          <w:rStyle w:val="CharStyle18"/>
        </w:rPr>
        <w:t>Правительством Российской Федерации, и (или) с принятием соответствующих</w:t>
      </w:r>
      <w:r>
        <w:rPr>
          <w:lang w:val="ru-RU" w:eastAsia="ru-RU" w:bidi="ru-RU"/>
          <w:sz w:val="24"/>
          <w:szCs w:val="24"/>
          <w:w w:val="100"/>
          <w:color w:val="000000"/>
          <w:position w:val="0"/>
        </w:rPr>
        <w:t xml:space="preserve"> </w:t>
      </w:r>
      <w:r>
        <w:rPr>
          <w:rStyle w:val="CharStyle18"/>
        </w:rPr>
        <w:t>мер реагирования на их сигнальную информацию</w:t>
      </w:r>
      <w:r>
        <w:rPr>
          <w:lang w:val="ru-RU" w:eastAsia="ru-RU" w:bidi="ru-RU"/>
          <w:sz w:val="24"/>
          <w:szCs w:val="24"/>
          <w:w w:val="100"/>
          <w:color w:val="000000"/>
          <w:position w:val="0"/>
        </w:rPr>
        <w:t>;</w:t>
      </w:r>
    </w:p>
    <w:p>
      <w:pPr>
        <w:pStyle w:val="Style11"/>
        <w:numPr>
          <w:ilvl w:val="0"/>
          <w:numId w:val="5"/>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консультирование и подготовка рекомендаций клиентам по вопросам правомерной защиты от противоправных посягательств;</w:t>
      </w:r>
    </w:p>
    <w:p>
      <w:pPr>
        <w:pStyle w:val="Style11"/>
        <w:numPr>
          <w:ilvl w:val="0"/>
          <w:numId w:val="5"/>
        </w:numPr>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 xml:space="preserve"> обеспечение порядка в местах проведения массовых мероприятий;</w:t>
      </w:r>
    </w:p>
    <w:p>
      <w:pPr>
        <w:pStyle w:val="Style11"/>
        <w:numPr>
          <w:ilvl w:val="0"/>
          <w:numId w:val="5"/>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обеспечение внутриобъектового и пропускного режимов на объектах, за исключением объектов, предусмотренных пунктом 7 настоящей части;</w:t>
      </w:r>
    </w:p>
    <w:p>
      <w:pPr>
        <w:pStyle w:val="Style11"/>
        <w:numPr>
          <w:ilvl w:val="0"/>
          <w:numId w:val="5"/>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настоящего Закона.</w:t>
      </w:r>
    </w:p>
    <w:p>
      <w:pPr>
        <w:pStyle w:val="Style11"/>
        <w:widowControl w:val="0"/>
        <w:keepNext w:val="0"/>
        <w:keepLines w:val="0"/>
        <w:shd w:val="clear" w:color="auto" w:fill="auto"/>
        <w:bidi w:val="0"/>
        <w:jc w:val="both"/>
        <w:spacing w:before="0" w:after="304" w:line="322" w:lineRule="exact"/>
        <w:ind w:left="20" w:right="20" w:firstLine="700"/>
      </w:pPr>
      <w:r>
        <w:rPr>
          <w:lang w:val="ru-RU" w:eastAsia="ru-RU" w:bidi="ru-RU"/>
          <w:sz w:val="24"/>
          <w:szCs w:val="24"/>
          <w:w w:val="100"/>
          <w:color w:val="000000"/>
          <w:position w:val="0"/>
        </w:rPr>
        <w:t>Таким образом, участники закупки, имеющие предусмотренную лицензию на осуществление охранной деятельности (для участников закупки, осуществляющих негосударственную (частную) охранную деятельность, вправе оказать услуги по охране имущества заказчика и выполнить работы, в частности, по установке систем охранной и тревожной сигнализации.</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Согласно п. 2 ст. 42 Закона о контрактной системе в извещении об осуществлении закупки должно содержаться, если иное не предусмотрено настоящим Федеральным законом, в том числе,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извещение о проведении закупки и документацией об электронном аукционе услуги должны оказываться в период с 01.12.2017 по 31.12.2017 (включительно), круглосуточно, по адресам, указанным в Задании.</w:t>
      </w:r>
    </w:p>
    <w:p>
      <w:pPr>
        <w:pStyle w:val="Style11"/>
        <w:widowControl w:val="0"/>
        <w:keepNext w:val="0"/>
        <w:keepLines w:val="0"/>
        <w:shd w:val="clear" w:color="auto" w:fill="auto"/>
        <w:bidi w:val="0"/>
        <w:jc w:val="both"/>
        <w:spacing w:before="0" w:after="304" w:line="322" w:lineRule="exact"/>
        <w:ind w:left="20" w:right="20" w:firstLine="700"/>
      </w:pPr>
      <w:r>
        <w:rPr>
          <w:lang w:val="ru-RU" w:eastAsia="ru-RU" w:bidi="ru-RU"/>
          <w:sz w:val="24"/>
          <w:szCs w:val="24"/>
          <w:w w:val="100"/>
          <w:color w:val="000000"/>
          <w:position w:val="0"/>
        </w:rPr>
        <w:t>Приведенные положения извещения и документации содержат срок оказания услуг с 01.12.2017 по 31.12.2017. Более того, заказчиком конкретизировано, что ему необходимо, чтобы объекты охранялись круглосуточно.</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Частью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обоснование начальной (максимальной) цены контракта.</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Комиссией установлено, что приложение № 2 к документации содержит обоснование начальной (максимальной) цены контракта на оказание услуг по охране имущества посредством централизованного наблюдения с помощью системы передачи оперативных данных (пультовая охрана), составленное путем использования метода сопоставимых рыночных цен (анализа рынка).</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При этом, согласно представленным на рассмотрение жалобы документам, ценовая информация была предоставлена частными охранными предприятиями.</w:t>
      </w:r>
    </w:p>
    <w:p>
      <w:pPr>
        <w:pStyle w:val="Style11"/>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Таким образом, поскольку участниками закупки могут являться частные охранные предприятия, то использование ценовой информации от данных лиц для обоснования начальной (максимальной) цены контракта не может противоречить требованиям Закона о контрактной системе.</w:t>
      </w:r>
    </w:p>
    <w:p>
      <w:pPr>
        <w:pStyle w:val="Style11"/>
        <w:widowControl w:val="0"/>
        <w:keepNext w:val="0"/>
        <w:keepLines w:val="0"/>
        <w:shd w:val="clear" w:color="auto" w:fill="auto"/>
        <w:bidi w:val="0"/>
        <w:jc w:val="both"/>
        <w:spacing w:before="0" w:after="662"/>
        <w:ind w:left="20" w:right="20" w:firstLine="700"/>
      </w:pPr>
      <w:r>
        <w:rPr>
          <w:lang w:val="ru-RU" w:eastAsia="ru-RU" w:bidi="ru-RU"/>
          <w:sz w:val="24"/>
          <w:szCs w:val="24"/>
          <w:w w:val="100"/>
          <w:color w:val="000000"/>
          <w:position w:val="0"/>
        </w:rPr>
        <w:t>Руководствуясь ст. 99,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Комиссия</w:t>
      </w:r>
    </w:p>
    <w:p>
      <w:pPr>
        <w:pStyle w:val="Style11"/>
        <w:widowControl w:val="0"/>
        <w:keepNext w:val="0"/>
        <w:keepLines w:val="0"/>
        <w:shd w:val="clear" w:color="auto" w:fill="auto"/>
        <w:bidi w:val="0"/>
        <w:jc w:val="center"/>
        <w:spacing w:before="0" w:after="307" w:line="240" w:lineRule="exact"/>
        <w:ind w:left="0" w:right="0" w:firstLine="0"/>
      </w:pPr>
      <w:r>
        <w:rPr>
          <w:rStyle w:val="CharStyle17"/>
        </w:rPr>
        <w:t>РЕШИЛА:</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1. Признать жалобу федерального государственного казенного учреждения "Управление вневедомственной охраны войск национальной гвардии Российской Федерации по Липецкой области" на положения документации об электронном аукционе №17-ЭА2-2252: услуги по охране</w:t>
        <w:br w:type="page"/>
        <w:t>имущества посредством централизованного наблюдения с помощью системы передачи оперативных данных (пультовая охрана) (реестровый номер 0146200002017001942)необоснованной.</w:t>
      </w:r>
    </w:p>
    <w:p>
      <w:pPr>
        <w:pStyle w:val="Style11"/>
        <w:widowControl w:val="0"/>
        <w:keepNext w:val="0"/>
        <w:keepLines w:val="0"/>
        <w:shd w:val="clear" w:color="auto" w:fill="auto"/>
        <w:bidi w:val="0"/>
        <w:jc w:val="left"/>
        <w:spacing w:before="0" w:after="665" w:line="322" w:lineRule="exact"/>
        <w:ind w:left="0" w:right="0" w:firstLine="700"/>
      </w:pPr>
      <w:r>
        <w:rPr>
          <w:lang w:val="ru-RU" w:eastAsia="ru-RU" w:bidi="ru-RU"/>
          <w:sz w:val="24"/>
          <w:szCs w:val="24"/>
          <w:w w:val="100"/>
          <w:color w:val="000000"/>
          <w:position w:val="0"/>
        </w:rPr>
        <w:t>Решение может быть обжаловано в арбитражный суд в течение трех месяцев со дня его вынесения.</w:t>
      </w:r>
    </w:p>
    <w:p>
      <w:pPr>
        <w:pStyle w:val="Style11"/>
        <w:framePr w:h="230" w:wrap="around" w:vAnchor="text" w:hAnchor="margin" w:x="7785" w:y="18"/>
        <w:widowControl w:val="0"/>
        <w:keepNext w:val="0"/>
        <w:keepLines w:val="0"/>
        <w:shd w:val="clear" w:color="auto" w:fill="auto"/>
        <w:bidi w:val="0"/>
        <w:jc w:val="left"/>
        <w:spacing w:before="0" w:after="0" w:line="230" w:lineRule="exact"/>
        <w:ind w:left="100" w:right="0" w:firstLine="0"/>
      </w:pPr>
      <w:r>
        <w:rPr>
          <w:rStyle w:val="CharStyle16"/>
          <w:spacing w:val="10"/>
        </w:rPr>
        <w:t>И.В. Поткина</w:t>
      </w:r>
    </w:p>
    <w:p>
      <w:pPr>
        <w:pStyle w:val="Style11"/>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color w:val="000000"/>
          <w:position w:val="0"/>
        </w:rPr>
        <w:t>Председатель Комиссии:</w:t>
      </w:r>
    </w:p>
    <w:p>
      <w:pPr>
        <w:pStyle w:val="Style11"/>
        <w:framePr w:h="250" w:hSpace="224" w:wrap="around" w:vAnchor="text" w:hAnchor="margin" w:x="7780" w:y="20"/>
        <w:widowControl w:val="0"/>
        <w:keepNext w:val="0"/>
        <w:keepLines w:val="0"/>
        <w:shd w:val="clear" w:color="auto" w:fill="auto"/>
        <w:bidi w:val="0"/>
        <w:jc w:val="left"/>
        <w:spacing w:before="0" w:after="0" w:line="230" w:lineRule="exact"/>
        <w:ind w:left="100" w:right="0" w:firstLine="0"/>
      </w:pPr>
      <w:r>
        <w:rPr>
          <w:rStyle w:val="CharStyle16"/>
          <w:spacing w:val="10"/>
        </w:rPr>
        <w:t>Т.Н. Ролдугина</w:t>
      </w:r>
    </w:p>
    <w:p>
      <w:pPr>
        <w:pStyle w:val="Style11"/>
        <w:widowControl w:val="0"/>
        <w:keepNext w:val="0"/>
        <w:keepLines w:val="0"/>
        <w:shd w:val="clear" w:color="auto" w:fill="auto"/>
        <w:bidi w:val="0"/>
        <w:jc w:val="both"/>
        <w:spacing w:before="0" w:after="0" w:line="240" w:lineRule="exact"/>
        <w:ind w:left="0" w:right="0" w:firstLine="0"/>
        <w:sectPr>
          <w:type w:val="continuous"/>
          <w:pgSz w:w="16838" w:h="23810"/>
          <w:pgMar w:top="3698" w:left="4027" w:right="2587" w:bottom="4496" w:header="0" w:footer="3" w:gutter="0"/>
          <w:rtlGutter w:val="0"/>
          <w:cols w:space="720"/>
          <w:noEndnote/>
          <w:docGrid w:linePitch="360"/>
        </w:sectPr>
      </w:pPr>
      <w:r>
        <w:rPr>
          <w:lang w:val="ru-RU" w:eastAsia="ru-RU" w:bidi="ru-RU"/>
          <w:sz w:val="24"/>
          <w:szCs w:val="24"/>
          <w:w w:val="100"/>
          <w:color w:val="000000"/>
          <w:position w:val="0"/>
        </w:rPr>
        <w:t>Заместитель председателя Комиссии:</w:t>
      </w:r>
    </w:p>
    <w:p>
      <w:pPr>
        <w:widowControl w:val="0"/>
        <w:spacing w:before="85" w:after="8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9"/>
        <w:framePr w:h="600" w:wrap="around" w:hAnchor="margin" w:x="7934" w:y="3960"/>
        <w:widowControl w:val="0"/>
        <w:keepNext w:val="0"/>
        <w:keepLines w:val="0"/>
        <w:shd w:val="clear" w:color="auto" w:fill="auto"/>
        <w:bidi w:val="0"/>
        <w:jc w:val="left"/>
        <w:spacing w:before="0" w:after="0" w:line="600" w:lineRule="exact"/>
        <w:ind w:left="100" w:right="0" w:firstLine="0"/>
      </w:pPr>
      <w:r>
        <w:rPr>
          <w:w w:val="100"/>
          <w:spacing w:val="-90"/>
          <w:color w:val="000000"/>
          <w:position w:val="0"/>
        </w:rPr>
        <w:t>st</w:t>
      </w:r>
    </w:p>
    <w:p>
      <w:pPr>
        <w:pStyle w:val="Style11"/>
        <w:framePr w:h="243" w:wrap="around" w:vAnchor="text" w:hAnchor="margin" w:x="9187" w:y="6"/>
        <w:widowControl w:val="0"/>
        <w:keepNext w:val="0"/>
        <w:keepLines w:val="0"/>
        <w:shd w:val="clear" w:color="auto" w:fill="auto"/>
        <w:bidi w:val="0"/>
        <w:jc w:val="left"/>
        <w:spacing w:before="0" w:after="0" w:line="230" w:lineRule="exact"/>
        <w:ind w:left="100" w:right="0" w:firstLine="0"/>
      </w:pPr>
      <w:r>
        <w:rPr>
          <w:rStyle w:val="CharStyle16"/>
          <w:spacing w:val="10"/>
        </w:rPr>
        <w:t>О.И. Панина</w:t>
      </w:r>
    </w:p>
    <w:p>
      <w:pPr>
        <w:pStyle w:val="Style1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color w:val="000000"/>
          <w:position w:val="0"/>
        </w:rPr>
        <w:t>Член Комиссии</w:t>
      </w:r>
    </w:p>
    <w:sectPr>
      <w:type w:val="continuous"/>
      <w:pgSz w:w="16838" w:h="23810"/>
      <w:pgMar w:top="10169" w:left="3597" w:right="11099" w:bottom="96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5)_"/>
    <w:basedOn w:val="DefaultParagraphFont"/>
    <w:link w:val="Style9"/>
    <w:rPr>
      <w:lang w:val="en-US" w:eastAsia="en-US" w:bidi="en-US"/>
      <w:b w:val="0"/>
      <w:bCs w:val="0"/>
      <w:i w:val="0"/>
      <w:iCs w:val="0"/>
      <w:u w:val="none"/>
      <w:strike w:val="0"/>
      <w:smallCaps w:val="0"/>
      <w:sz w:val="23"/>
      <w:szCs w:val="23"/>
      <w:rFonts w:ascii="Consolas" w:eastAsia="Consolas" w:hAnsi="Consolas" w:cs="Consolas"/>
      <w:spacing w:val="-30"/>
    </w:rPr>
  </w:style>
  <w:style w:type="character" w:customStyle="1" w:styleId="CharStyle12">
    <w:name w:val="Основной текст_"/>
    <w:basedOn w:val="DefaultParagraphFont"/>
    <w:link w:val="Style11"/>
    <w:rPr>
      <w:b w:val="0"/>
      <w:bCs w:val="0"/>
      <w:i w:val="0"/>
      <w:iCs w:val="0"/>
      <w:u w:val="none"/>
      <w:strike w:val="0"/>
      <w:smallCaps w:val="0"/>
      <w:rFonts w:ascii="Times New Roman" w:eastAsia="Times New Roman" w:hAnsi="Times New Roman" w:cs="Times New Roman"/>
      <w:spacing w:val="10"/>
    </w:rPr>
  </w:style>
  <w:style w:type="character" w:customStyle="1" w:styleId="CharStyle13">
    <w:name w:val="Основной текст (4) Exact"/>
    <w:basedOn w:val="DefaultParagraphFont"/>
    <w:rPr>
      <w:lang w:val="en-US" w:eastAsia="en-US" w:bidi="en-US"/>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5">
    <w:name w:val="Основной текст (6) Exact"/>
    <w:basedOn w:val="DefaultParagraphFont"/>
    <w:link w:val="Style14"/>
    <w:rPr>
      <w:b w:val="0"/>
      <w:bCs w:val="0"/>
      <w:i w:val="0"/>
      <w:iCs w:val="0"/>
      <w:u w:val="none"/>
      <w:strike w:val="0"/>
      <w:smallCaps w:val="0"/>
      <w:sz w:val="13"/>
      <w:szCs w:val="13"/>
      <w:rFonts w:ascii="Times New Roman" w:eastAsia="Times New Roman" w:hAnsi="Times New Roman" w:cs="Times New Roman"/>
      <w:spacing w:val="-4"/>
    </w:rPr>
  </w:style>
  <w:style w:type="character" w:customStyle="1" w:styleId="CharStyle1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2"/>
    </w:rPr>
  </w:style>
  <w:style w:type="character" w:customStyle="1" w:styleId="CharStyle17">
    <w:name w:val="Основной текст + Интервал 3 pt"/>
    <w:basedOn w:val="CharStyle12"/>
    <w:rPr>
      <w:lang w:val="ru-RU" w:eastAsia="ru-RU" w:bidi="ru-RU"/>
      <w:sz w:val="24"/>
      <w:szCs w:val="24"/>
      <w:w w:val="100"/>
      <w:spacing w:val="70"/>
      <w:color w:val="000000"/>
      <w:position w:val="0"/>
    </w:rPr>
  </w:style>
  <w:style w:type="character" w:customStyle="1" w:styleId="CharStyle18">
    <w:name w:val="Основной текст"/>
    <w:basedOn w:val="CharStyle12"/>
    <w:rPr>
      <w:lang w:val="ru-RU" w:eastAsia="ru-RU" w:bidi="ru-RU"/>
      <w:u w:val="single"/>
      <w:sz w:val="24"/>
      <w:szCs w:val="24"/>
      <w:w w:val="100"/>
      <w:color w:val="000000"/>
      <w:position w:val="0"/>
    </w:rPr>
  </w:style>
  <w:style w:type="character" w:customStyle="1" w:styleId="CharStyle20">
    <w:name w:val="Основной текст (7) Exact"/>
    <w:basedOn w:val="DefaultParagraphFont"/>
    <w:link w:val="Style19"/>
    <w:rPr>
      <w:lang w:val="en-US" w:eastAsia="en-US" w:bidi="en-US"/>
      <w:b w:val="0"/>
      <w:bCs w:val="0"/>
      <w:i/>
      <w:iCs/>
      <w:u w:val="none"/>
      <w:strike w:val="0"/>
      <w:smallCaps w:val="0"/>
      <w:sz w:val="60"/>
      <w:szCs w:val="60"/>
      <w:rFonts w:ascii="Sylfaen" w:eastAsia="Sylfaen" w:hAnsi="Sylfaen" w:cs="Sylfaen"/>
      <w:spacing w:val="-95"/>
    </w:rPr>
  </w:style>
  <w:style w:type="paragraph" w:customStyle="1" w:styleId="Style3">
    <w:name w:val="Основной текст (2)"/>
    <w:basedOn w:val="Normal"/>
    <w:link w:val="CharStyle4"/>
    <w:pPr>
      <w:widowControl w:val="0"/>
      <w:shd w:val="clear" w:color="auto" w:fill="FFFFFF"/>
      <w:jc w:val="center"/>
      <w:spacing w:after="60" w:line="21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line="245"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after="6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jc w:val="center"/>
      <w:spacing w:before="60" w:line="0" w:lineRule="exact"/>
    </w:pPr>
    <w:rPr>
      <w:lang w:val="en-US" w:eastAsia="en-US" w:bidi="en-US"/>
      <w:b w:val="0"/>
      <w:bCs w:val="0"/>
      <w:i w:val="0"/>
      <w:iCs w:val="0"/>
      <w:u w:val="none"/>
      <w:strike w:val="0"/>
      <w:smallCaps w:val="0"/>
      <w:sz w:val="23"/>
      <w:szCs w:val="23"/>
      <w:rFonts w:ascii="Consolas" w:eastAsia="Consolas" w:hAnsi="Consolas" w:cs="Consolas"/>
      <w:spacing w:val="-30"/>
    </w:rPr>
  </w:style>
  <w:style w:type="paragraph" w:customStyle="1" w:styleId="Style11">
    <w:name w:val="Основной текст"/>
    <w:basedOn w:val="Normal"/>
    <w:link w:val="CharStyle12"/>
    <w:pPr>
      <w:widowControl w:val="0"/>
      <w:shd w:val="clear" w:color="auto" w:fill="FFFFFF"/>
      <w:spacing w:after="660" w:line="317"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4">
    <w:name w:val="Основной текст (6)"/>
    <w:basedOn w:val="Normal"/>
    <w:link w:val="CharStyle15"/>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4"/>
    </w:rPr>
  </w:style>
  <w:style w:type="paragraph" w:customStyle="1" w:styleId="Style19">
    <w:name w:val="Основной текст (7)"/>
    <w:basedOn w:val="Normal"/>
    <w:link w:val="CharStyle20"/>
    <w:pPr>
      <w:widowControl w:val="0"/>
      <w:shd w:val="clear" w:color="auto" w:fill="FFFFFF"/>
      <w:spacing w:line="0" w:lineRule="exact"/>
    </w:pPr>
    <w:rPr>
      <w:lang w:val="en-US" w:eastAsia="en-US" w:bidi="en-US"/>
      <w:b w:val="0"/>
      <w:bCs w:val="0"/>
      <w:i/>
      <w:iCs/>
      <w:u w:val="none"/>
      <w:strike w:val="0"/>
      <w:smallCaps w:val="0"/>
      <w:sz w:val="60"/>
      <w:szCs w:val="60"/>
      <w:rFonts w:ascii="Sylfaen" w:eastAsia="Sylfaen" w:hAnsi="Sylfaen" w:cs="Sylfaen"/>
      <w:spacing w:val="-95"/>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