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2" w:h="2362" w:wrap="none" w:hAnchor="page" w:x="1453" w:y="1129"/>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framePr w:w="3542" w:h="2362" w:wrap="none" w:hAnchor="page" w:x="1453" w:y="1129"/>
        <w:widowControl w:val="0"/>
        <w:shd w:val="clear" w:color="auto" w:fill="auto"/>
        <w:bidi w:val="0"/>
        <w:spacing w:before="0" w:after="200" w:line="240" w:lineRule="auto"/>
        <w:ind w:left="0" w:right="0" w:firstLine="0"/>
        <w:jc w:val="center"/>
      </w:pPr>
      <w:r>
        <w:rPr>
          <w:color w:val="4561A3"/>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framePr w:w="3542" w:h="2362" w:wrap="none" w:hAnchor="page" w:x="1453" w:y="1129"/>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8"/>
        <w:keepNext w:val="0"/>
        <w:keepLines w:val="0"/>
        <w:framePr w:w="4061" w:h="245" w:wrap="none" w:hAnchor="page" w:x="1141" w:y="4129"/>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p>
      <w:pPr>
        <w:pStyle w:val="Style10"/>
        <w:keepNext/>
        <w:keepLines/>
        <w:framePr w:w="4704" w:h="5866" w:wrap="none" w:hAnchor="page" w:x="6406" w:y="879"/>
        <w:widowControl w:val="0"/>
        <w:shd w:val="clear" w:color="auto" w:fill="auto"/>
        <w:bidi w:val="0"/>
        <w:spacing w:before="0" w:after="0" w:line="240" w:lineRule="auto"/>
        <w:ind w:left="0" w:right="0" w:firstLine="0"/>
        <w:jc w:val="left"/>
      </w:pPr>
      <w:bookmarkStart w:id="0" w:name="bookmark0"/>
      <w:r>
        <w:rPr>
          <w:color w:val="000000"/>
          <w:spacing w:val="0"/>
          <w:w w:val="100"/>
          <w:position w:val="0"/>
          <w:sz w:val="24"/>
          <w:szCs w:val="24"/>
          <w:shd w:val="clear" w:color="auto" w:fill="auto"/>
          <w:lang w:val="ru-RU" w:eastAsia="ru-RU" w:bidi="ru-RU"/>
        </w:rPr>
        <w:t>ООО «РАЗВИТИЕ ОБРАЗОВАНИЯ» (далее - Заявитель)</w:t>
      </w:r>
      <w:bookmarkEnd w:id="0"/>
    </w:p>
    <w:p>
      <w:pPr>
        <w:pStyle w:val="Style12"/>
        <w:keepNext w:val="0"/>
        <w:keepLines w:val="0"/>
        <w:framePr w:w="4704" w:h="5866" w:wrap="none" w:hAnchor="page" w:x="640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пр-кт Ленина, д. 81/1, оф. 1, г. Ростов-на-Дону, 344038</w:t>
      </w:r>
    </w:p>
    <w:p>
      <w:pPr>
        <w:pStyle w:val="Style12"/>
        <w:keepNext w:val="0"/>
        <w:keepLines w:val="0"/>
        <w:framePr w:w="4704" w:h="5866" w:wrap="none" w:hAnchor="page" w:x="6406" w:y="879"/>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гоз1оу-оЬг@таП.ш</w:t>
      </w:r>
    </w:p>
    <w:p>
      <w:pPr>
        <w:pStyle w:val="Style12"/>
        <w:keepNext w:val="0"/>
        <w:keepLines w:val="0"/>
        <w:framePr w:w="4704" w:h="5866" w:wrap="none" w:hAnchor="page" w:x="6406" w:y="879"/>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 xml:space="preserve">Управление образования г. Волгодонска (далее - Уполномоченный орган) </w:t>
      </w:r>
      <w:r>
        <w:rPr>
          <w:color w:val="000000"/>
          <w:spacing w:val="0"/>
          <w:w w:val="100"/>
          <w:position w:val="0"/>
          <w:sz w:val="24"/>
          <w:szCs w:val="24"/>
          <w:shd w:val="clear" w:color="auto" w:fill="auto"/>
          <w:lang w:val="ru-RU" w:eastAsia="ru-RU" w:bidi="ru-RU"/>
        </w:rPr>
        <w:t>пер. Западный, 5, г. Волгодонск, Ростовская область, 347371</w:t>
      </w:r>
    </w:p>
    <w:p>
      <w:pPr>
        <w:pStyle w:val="Style12"/>
        <w:keepNext w:val="0"/>
        <w:keepLines w:val="0"/>
        <w:framePr w:w="4704" w:h="5866" w:wrap="none" w:hAnchor="page" w:x="6406" w:y="879"/>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аппакого11243@дтаП.сот</w:t>
      </w:r>
    </w:p>
    <w:p>
      <w:pPr>
        <w:pStyle w:val="Style10"/>
        <w:keepNext/>
        <w:keepLines/>
        <w:framePr w:w="4704" w:h="5866" w:wrap="none" w:hAnchor="page" w:x="6406" w:y="879"/>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МБОУ СШ «Юнона» г. Волгодонска (далее - Заказчик)</w:t>
      </w:r>
      <w:bookmarkEnd w:id="2"/>
    </w:p>
    <w:p>
      <w:pPr>
        <w:pStyle w:val="Style12"/>
        <w:keepNext w:val="0"/>
        <w:keepLines w:val="0"/>
        <w:framePr w:w="4704" w:h="5866" w:wrap="none" w:hAnchor="page" w:x="640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ул.К. Маркса, д. 64А, г. Волгодонск, Ростовская область, 347389</w:t>
      </w:r>
    </w:p>
    <w:p>
      <w:pPr>
        <w:pStyle w:val="Style12"/>
        <w:keepNext w:val="0"/>
        <w:keepLines w:val="0"/>
        <w:framePr w:w="4704" w:h="5866" w:wrap="none" w:hAnchor="page" w:x="6406" w:y="879"/>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пе\]ипопа@таП.ги</w:t>
      </w:r>
    </w:p>
    <w:p>
      <w:pPr>
        <w:pStyle w:val="Style10"/>
        <w:keepNext/>
        <w:keepLines/>
        <w:framePr w:w="4704" w:h="5866" w:wrap="none" w:hAnchor="page" w:x="6406" w:y="879"/>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ООО «РТС-тендер»</w:t>
      </w:r>
      <w:bookmarkEnd w:id="4"/>
    </w:p>
    <w:p>
      <w:pPr>
        <w:pStyle w:val="Style10"/>
        <w:keepNext/>
        <w:keepLines/>
        <w:framePr w:w="4704" w:h="5866" w:wrap="none" w:hAnchor="page" w:x="640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Оператор электронной площадки)</w:t>
      </w:r>
    </w:p>
    <w:p>
      <w:pPr>
        <w:pStyle w:val="Style12"/>
        <w:keepNext w:val="0"/>
        <w:keepLines w:val="0"/>
        <w:framePr w:w="4704" w:h="5866" w:wrap="none" w:hAnchor="page" w:x="6406" w:y="879"/>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ко@1Д8-1епНег.ш</w:t>
      </w:r>
    </w:p>
    <w:p>
      <w:pPr>
        <w:pStyle w:val="Style12"/>
        <w:keepNext w:val="0"/>
        <w:keepLines w:val="0"/>
        <w:framePr w:w="3811" w:h="902" w:wrap="none" w:hAnchor="page" w:x="4333" w:y="7556"/>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результатам рассмотрения дела</w:t>
        <w:br/>
        <w:t>№061/06/42-2016/2023</w:t>
      </w:r>
    </w:p>
    <w:p>
      <w:pPr>
        <w:pStyle w:val="Style12"/>
        <w:keepNext w:val="0"/>
        <w:keepLines w:val="0"/>
        <w:framePr w:w="1118" w:h="341" w:wrap="none" w:hAnchor="page" w:x="1117" w:y="8665"/>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08.06.2023</w:t>
      </w:r>
    </w:p>
    <w:p>
      <w:pPr>
        <w:pStyle w:val="Style12"/>
        <w:keepNext w:val="0"/>
        <w:keepLines w:val="0"/>
        <w:framePr w:w="1853" w:h="341" w:wrap="none" w:hAnchor="page" w:x="9574" w:y="8665"/>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Ростов-на-Дону</w:t>
      </w:r>
    </w:p>
    <w:p>
      <w:pPr>
        <w:pStyle w:val="Style12"/>
        <w:keepNext w:val="0"/>
        <w:keepLines w:val="0"/>
        <w:framePr w:w="3110" w:h="893" w:wrap="none" w:hAnchor="page" w:x="1117" w:y="9217"/>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(далее - Ростовское УФАС в сфере закупок в составе:</w:t>
      </w:r>
    </w:p>
    <w:p>
      <w:pPr>
        <w:pStyle w:val="Style12"/>
        <w:keepNext w:val="0"/>
        <w:keepLines w:val="0"/>
        <w:framePr w:w="7013" w:h="619" w:wrap="none" w:hAnchor="page" w:x="4342" w:y="9217"/>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Федеральной антимонопольной службы по Ростовской области России, Комиссия) по контролю соблюдения законодательства</w:t>
      </w:r>
    </w:p>
    <w:p>
      <w:pPr>
        <w:pStyle w:val="Style12"/>
        <w:keepNext w:val="0"/>
        <w:keepLines w:val="0"/>
        <w:framePr w:w="10373" w:h="3653" w:wrap="none" w:hAnchor="page" w:x="987" w:y="10321"/>
        <w:widowControl w:val="0"/>
        <w:shd w:val="clear" w:color="auto" w:fill="auto"/>
        <w:tabs>
          <w:tab w:pos="8491"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Благодарев,</w:t>
      </w:r>
    </w:p>
    <w:p>
      <w:pPr>
        <w:pStyle w:val="Style12"/>
        <w:keepNext w:val="0"/>
        <w:keepLines w:val="0"/>
        <w:framePr w:w="10373" w:h="3653" w:wrap="none" w:hAnchor="page" w:x="987" w:y="10321"/>
        <w:widowControl w:val="0"/>
        <w:shd w:val="clear" w:color="auto" w:fill="auto"/>
        <w:tabs>
          <w:tab w:pos="849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А.А. Михарская,</w:t>
      </w:r>
    </w:p>
    <w:p>
      <w:pPr>
        <w:pStyle w:val="Style12"/>
        <w:keepNext w:val="0"/>
        <w:keepLines w:val="0"/>
        <w:framePr w:w="10373" w:h="3653" w:wrap="none" w:hAnchor="page" w:x="987" w:y="10321"/>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12"/>
        <w:keepNext w:val="0"/>
        <w:keepLines w:val="0"/>
        <w:framePr w:w="10373" w:h="3653" w:wrap="none" w:hAnchor="page" w:x="987" w:y="10321"/>
        <w:widowControl w:val="0"/>
        <w:shd w:val="clear" w:color="auto" w:fill="auto"/>
        <w:bidi w:val="0"/>
        <w:spacing w:before="0" w:after="0" w:line="240" w:lineRule="auto"/>
        <w:ind w:left="140" w:right="0" w:firstLine="560"/>
        <w:jc w:val="both"/>
      </w:pPr>
      <w:r>
        <w:rPr>
          <w:color w:val="000000"/>
          <w:spacing w:val="0"/>
          <w:w w:val="100"/>
          <w:position w:val="0"/>
          <w:sz w:val="24"/>
          <w:szCs w:val="24"/>
          <w:shd w:val="clear" w:color="auto" w:fill="auto"/>
          <w:lang w:val="ru-RU" w:eastAsia="ru-RU" w:bidi="ru-RU"/>
        </w:rPr>
        <w:t>рассмотрев дело №061/06/42-2016/2023 по жалобе Заявителя о нарушении Заказчиком при проведении аукциона в электронной форме №0358300081123000013 «На приобретение товара для оснащения объекта после строительства общеобразовательной школы на 600 мест в микрорайоне "В-9" г. Волгодонска в рамках реализации субсидии на оснащение муниципальных образовательных организаций и объектов после завершения капитального ремонта, строительства, реконструкции»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Заявителя - Шестаковой М.С. (доверенность от 07.06.2023),</w:t>
      </w:r>
    </w:p>
    <w:p>
      <w:pPr>
        <w:pStyle w:val="Style15"/>
        <w:keepNext/>
        <w:keepLines/>
        <w:framePr w:w="2486" w:h="509" w:wrap="none" w:hAnchor="page" w:x="1097" w:y="14617"/>
        <w:widowControl w:val="0"/>
        <w:shd w:val="clear" w:color="auto" w:fill="auto"/>
        <w:bidi w:val="0"/>
        <w:spacing w:before="0" w:after="0" w:line="240" w:lineRule="auto"/>
        <w:ind w:left="0" w:right="0" w:firstLine="0"/>
        <w:jc w:val="left"/>
      </w:pPr>
      <w:bookmarkStart w:id="7" w:name="bookmark7"/>
      <w:r>
        <w:rPr>
          <w:color w:val="000000"/>
          <w:spacing w:val="0"/>
          <w:w w:val="100"/>
          <w:position w:val="0"/>
          <w:shd w:val="clear" w:color="auto" w:fill="auto"/>
          <w:lang w:val="ru-RU" w:eastAsia="ru-RU" w:bidi="ru-RU"/>
        </w:rPr>
        <w:t>111111111111111111111111</w:t>
      </w:r>
      <w:bookmarkEnd w:id="7"/>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w:drawing>
          <wp:anchor distT="0" distB="307975" distL="67310" distR="1393190" simplePos="0" relativeHeight="62914691" behindDoc="1" locked="0" layoutInCell="1" allowOverlap="1">
            <wp:simplePos x="0" y="0"/>
            <wp:positionH relativeFrom="page">
              <wp:posOffset>791210</wp:posOffset>
            </wp:positionH>
            <wp:positionV relativeFrom="margin">
              <wp:posOffset>2270760</wp:posOffset>
            </wp:positionV>
            <wp:extent cx="1121410" cy="20129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1121410" cy="201295"/>
                    </a:xfrm>
                    <a:prstGeom prst="rect"/>
                  </pic:spPr>
                </pic:pic>
              </a:graphicData>
            </a:graphic>
          </wp:anchor>
        </w:drawing>
      </w:r>
      <w:r>
        <w:drawing>
          <wp:anchor distT="0" distB="0" distL="0" distR="0" simplePos="0" relativeHeight="62914692" behindDoc="1" locked="0" layoutInCell="1" allowOverlap="1">
            <wp:simplePos x="0" y="0"/>
            <wp:positionH relativeFrom="page">
              <wp:posOffset>726440</wp:posOffset>
            </wp:positionH>
            <wp:positionV relativeFrom="margin">
              <wp:posOffset>3081655</wp:posOffset>
            </wp:positionV>
            <wp:extent cx="2597150" cy="18288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2597150" cy="1828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4" w:line="1" w:lineRule="exact"/>
      </w:pPr>
    </w:p>
    <w:p>
      <w:pPr>
        <w:widowControl w:val="0"/>
        <w:spacing w:line="1" w:lineRule="exact"/>
        <w:sectPr>
          <w:footerReference w:type="default" r:id="rId11"/>
          <w:footnotePr>
            <w:pos w:val="pageBottom"/>
            <w:numFmt w:val="decimal"/>
            <w:numRestart w:val="continuous"/>
          </w:footnotePr>
          <w:pgSz w:w="11900" w:h="16840"/>
          <w:pgMar w:top="284" w:right="474" w:bottom="1216" w:left="986" w:header="0" w:footer="3" w:gutter="0"/>
          <w:pgNumType w:start="1"/>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директора МБОУ СШ «Юнона» г. Волгодонска - Авакова А.И. (приказ №4лс от 07.02.2023), представителя Уполномоченного органа - Скоробогатовой Л.В. (доверенность от 05.06.2023),</w:t>
      </w:r>
    </w:p>
    <w:p>
      <w:pPr>
        <w:pStyle w:val="Style10"/>
        <w:keepNext/>
        <w:keepLines/>
        <w:widowControl w:val="0"/>
        <w:shd w:val="clear" w:color="auto" w:fill="auto"/>
        <w:bidi w:val="0"/>
        <w:spacing w:before="0" w:after="240" w:line="240" w:lineRule="auto"/>
        <w:ind w:left="0" w:right="0" w:firstLine="0"/>
        <w:jc w:val="center"/>
      </w:pPr>
      <w:bookmarkStart w:id="9" w:name="bookmark9"/>
      <w:r>
        <w:rPr>
          <w:color w:val="000000"/>
          <w:spacing w:val="0"/>
          <w:w w:val="100"/>
          <w:position w:val="0"/>
          <w:sz w:val="24"/>
          <w:szCs w:val="24"/>
          <w:shd w:val="clear" w:color="auto" w:fill="auto"/>
          <w:lang w:val="ru-RU" w:eastAsia="ru-RU" w:bidi="ru-RU"/>
        </w:rPr>
        <w:t>УСТАНОВИЛА:</w:t>
      </w:r>
      <w:bookmarkEnd w:id="9"/>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В Ростовское УФАС России поступила жалоба ООО «РАЗВИТИЕ ОБРАЗОВАНИЯ» на действия МБОУ СШ «Юнона» г. Волгодонска.</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2"/>
        <w:keepNext w:val="0"/>
        <w:keepLines w:val="0"/>
        <w:widowControl w:val="0"/>
        <w:numPr>
          <w:ilvl w:val="0"/>
          <w:numId w:val="1"/>
        </w:numPr>
        <w:shd w:val="clear" w:color="auto" w:fill="auto"/>
        <w:tabs>
          <w:tab w:pos="1078" w:val="left"/>
        </w:tabs>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отрицал нарушения Закона в извещении о проведении закупки;</w:t>
      </w:r>
    </w:p>
    <w:p>
      <w:pPr>
        <w:pStyle w:val="Style12"/>
        <w:keepNext w:val="0"/>
        <w:keepLines w:val="0"/>
        <w:widowControl w:val="0"/>
        <w:numPr>
          <w:ilvl w:val="0"/>
          <w:numId w:val="1"/>
        </w:numPr>
        <w:shd w:val="clear" w:color="auto" w:fill="auto"/>
        <w:tabs>
          <w:tab w:pos="1078" w:val="left"/>
        </w:tabs>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2"/>
        <w:keepNext w:val="0"/>
        <w:keepLines w:val="0"/>
        <w:widowControl w:val="0"/>
        <w:shd w:val="clear" w:color="auto" w:fill="auto"/>
        <w:bidi w:val="0"/>
        <w:spacing w:before="0" w:after="240" w:line="240" w:lineRule="auto"/>
        <w:ind w:left="0" w:right="0" w:firstLine="820"/>
        <w:jc w:val="both"/>
      </w:pPr>
      <w:r>
        <w:rPr>
          <w:color w:val="000000"/>
          <w:spacing w:val="0"/>
          <w:w w:val="100"/>
          <w:position w:val="0"/>
          <w:sz w:val="24"/>
          <w:szCs w:val="24"/>
          <w:shd w:val="clear" w:color="auto" w:fill="auto"/>
          <w:lang w:val="ru-RU" w:eastAsia="ru-RU" w:bidi="ru-RU"/>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\\л\л\-.хакирк1.до\'.ги 25.05.2023, согласно которому:</w:t>
      </w:r>
    </w:p>
    <w:p>
      <w:pPr>
        <w:pStyle w:val="Style12"/>
        <w:keepNext w:val="0"/>
        <w:keepLines w:val="0"/>
        <w:widowControl w:val="0"/>
        <w:numPr>
          <w:ilvl w:val="0"/>
          <w:numId w:val="1"/>
        </w:numPr>
        <w:shd w:val="clear" w:color="auto" w:fill="auto"/>
        <w:tabs>
          <w:tab w:pos="1078" w:val="left"/>
        </w:tabs>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- 02.06.2023 08:00 (МСК);</w:t>
      </w:r>
    </w:p>
    <w:p>
      <w:pPr>
        <w:pStyle w:val="Style12"/>
        <w:keepNext w:val="0"/>
        <w:keepLines w:val="0"/>
        <w:widowControl w:val="0"/>
        <w:numPr>
          <w:ilvl w:val="0"/>
          <w:numId w:val="1"/>
        </w:numPr>
        <w:shd w:val="clear" w:color="auto" w:fill="auto"/>
        <w:tabs>
          <w:tab w:pos="1078" w:val="left"/>
        </w:tabs>
        <w:bidi w:val="0"/>
        <w:spacing w:before="0" w:after="240" w:line="240" w:lineRule="auto"/>
        <w:ind w:left="0" w:right="0" w:firstLine="82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15 383 999,88 рублей.</w:t>
      </w:r>
    </w:p>
    <w:p>
      <w:pPr>
        <w:pStyle w:val="Style12"/>
        <w:keepNext w:val="0"/>
        <w:keepLines w:val="0"/>
        <w:widowControl w:val="0"/>
        <w:numPr>
          <w:ilvl w:val="0"/>
          <w:numId w:val="3"/>
        </w:numPr>
        <w:shd w:val="clear" w:color="auto" w:fill="auto"/>
        <w:tabs>
          <w:tab w:pos="1069" w:val="left"/>
        </w:tabs>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Согласно доводу жалобы, описание объекта закупки составлено в нарушение норм Закона, вводит в заблуждение участников закупки и не позволяет однозначно определить требуемые характеристики.</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 соответствии с</w:t>
      </w:r>
      <w:r>
        <w:rPr>
          <w:color w:val="000000"/>
          <w:spacing w:val="0"/>
          <w:w w:val="100"/>
          <w:position w:val="0"/>
          <w:sz w:val="24"/>
          <w:szCs w:val="24"/>
          <w:shd w:val="clear" w:color="auto" w:fill="auto"/>
          <w:lang w:val="ru-RU" w:eastAsia="ru-RU" w:bidi="ru-RU"/>
        </w:rPr>
        <w:t xml:space="preserve"> пунктом 3 статьи 7 </w:t>
      </w:r>
      <w:r>
        <w:rPr>
          <w:color w:val="000000"/>
          <w:spacing w:val="0"/>
          <w:w w:val="100"/>
          <w:position w:val="0"/>
          <w:sz w:val="24"/>
          <w:szCs w:val="24"/>
          <w:shd w:val="clear" w:color="auto" w:fill="auto"/>
          <w:lang w:val="ru-RU" w:eastAsia="ru-RU" w:bidi="ru-RU"/>
        </w:rPr>
        <w:t>Закона информация, предусмотренная Законом и размещенная в единой информационной системе, должна быть полной и достоверной.</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 силу с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Согласно ч.2 ст.33 Закона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240" w:line="240" w:lineRule="auto"/>
        <w:ind w:left="0" w:right="0" w:firstLine="660"/>
        <w:jc w:val="both"/>
      </w:pPr>
      <w:r>
        <w:rPr>
          <w:color w:val="000000"/>
          <w:spacing w:val="0"/>
          <w:w w:val="100"/>
          <w:position w:val="0"/>
          <w:sz w:val="24"/>
          <w:szCs w:val="24"/>
          <w:shd w:val="clear" w:color="auto" w:fill="auto"/>
          <w:lang w:val="ru-RU" w:eastAsia="ru-RU" w:bidi="ru-RU"/>
        </w:rPr>
        <w:t>В описании объекта закупки установлены требования к закупаемым товарам, в том числе:</w:t>
      </w:r>
    </w:p>
    <w:tbl>
      <w:tblPr>
        <w:tblOverlap w:val="never"/>
        <w:jc w:val="center"/>
        <w:tblLayout w:type="fixed"/>
      </w:tblPr>
      <w:tblGrid>
        <w:gridCol w:w="2976"/>
        <w:gridCol w:w="1982"/>
        <w:gridCol w:w="2477"/>
        <w:gridCol w:w="2894"/>
      </w:tblGrid>
      <w:tr>
        <w:trPr>
          <w:trHeight w:val="480" w:hRule="exact"/>
        </w:trPr>
        <w:tc>
          <w:tcPr>
            <w:vMerge w:val="restart"/>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24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Рельсовая система с классной доской и интерактивной панелью (программное обеспечение в комплекте)</w:t>
            </w:r>
          </w:p>
          <w:p>
            <w:pPr>
              <w:pStyle w:val="Style2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ОКПД 2: 32.99.53.130</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Высота панели, миллиметр</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Ширина панели, миллиметр</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Размер диагонали, дюйм (25,4 мм)</w:t>
            </w:r>
          </w:p>
        </w:tc>
      </w:tr>
      <w:tr>
        <w:trPr>
          <w:trHeight w:val="1488" w:hRule="exact"/>
        </w:trPr>
        <w:tc>
          <w:tcPr>
            <w:vMerge/>
            <w:tcBorders>
              <w:left w:val="single" w:sz="4"/>
              <w:bottom w:val="single" w:sz="4"/>
            </w:tcBorders>
            <w:shd w:val="clear" w:color="auto" w:fill="auto"/>
            <w:vAlign w:val="bottom"/>
          </w:tcPr>
          <w:p>
            <w:pP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Не менее 1000 и Не более 1050</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Не менее 1700 и Не более</w:t>
            </w:r>
          </w:p>
          <w:p>
            <w:pPr>
              <w:pStyle w:val="Style2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1750</w:t>
            </w:r>
          </w:p>
        </w:tc>
        <w:tc>
          <w:tcPr>
            <w:tcBorders>
              <w:top w:val="single" w:sz="4"/>
              <w:left w:val="single" w:sz="4"/>
              <w:bottom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Не менее 75 и Не более 80</w:t>
            </w:r>
          </w:p>
        </w:tc>
      </w:tr>
    </w:tbl>
    <w:p>
      <w:pPr>
        <w:widowControl w:val="0"/>
        <w:spacing w:after="239" w:line="1" w:lineRule="exact"/>
      </w:pPr>
    </w:p>
    <w:p>
      <w:pPr>
        <w:pStyle w:val="Style12"/>
        <w:keepNext w:val="0"/>
        <w:keepLines w:val="0"/>
        <w:widowControl w:val="0"/>
        <w:shd w:val="clear" w:color="auto" w:fill="auto"/>
        <w:bidi w:val="0"/>
        <w:spacing w:before="0" w:after="240" w:line="240" w:lineRule="auto"/>
        <w:ind w:left="0" w:right="0" w:firstLine="820"/>
        <w:jc w:val="both"/>
      </w:pPr>
      <w:r>
        <w:rPr>
          <w:color w:val="000000"/>
          <w:spacing w:val="0"/>
          <w:w w:val="100"/>
          <w:position w:val="0"/>
          <w:sz w:val="24"/>
          <w:szCs w:val="24"/>
          <w:shd w:val="clear" w:color="auto" w:fill="auto"/>
          <w:lang w:val="ru-RU" w:eastAsia="ru-RU" w:bidi="ru-RU"/>
        </w:rPr>
        <w:t>Заявитель указывает, исходя из математического вычисления минимальных показателей «высота панели» и «ширина панели», размер диагонали составляет 77,65 дюйм, что противоречит минимальному значению по данному показателю, установленному в описании объекта закупки - не менее 75 дюйм.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Представитель Заказчика на заседании Комиссии пояснил, что обжалуемые позиции описания объекта закупки содержат значения панели, соответственно по высоте и ширине, совместно с корпусом; математический расчет диагонали такой панели не предусмотрен и не требуется от участника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по спорным характеристикам «высота панели», «ширина панели» и «размер диагонали» указан диапазон значений, удовлетворяющий потребность Заказчика, который участники в составе своих заявок должны конкретизировать.</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довод жалобы признан необоснованным.</w:t>
      </w:r>
    </w:p>
    <w:p>
      <w:pPr>
        <w:pStyle w:val="Style12"/>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п.1 ч.1 ст.33 Закона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 сопровождение такого указания словами «или эквивалент».</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объекта закупки содержит следующее требование: программное обеспечение - лицензионная операционная система \У1пс1о\\ъ.</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установление соответствующего требования является неправомерным, поскольку не имеет сопровождения словами «или эквивалент» и нарушает ч.2 ст.42 Закона.</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Довод жалобы признан обоснованным.</w:t>
      </w:r>
    </w:p>
    <w:p>
      <w:pPr>
        <w:pStyle w:val="Style12"/>
        <w:keepNext w:val="0"/>
        <w:keepLines w:val="0"/>
        <w:widowControl w:val="0"/>
        <w:numPr>
          <w:ilvl w:val="0"/>
          <w:numId w:val="3"/>
        </w:numPr>
        <w:shd w:val="clear" w:color="auto" w:fill="auto"/>
        <w:tabs>
          <w:tab w:pos="106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указывает, что под совместимостью объекта (процесса, системы) понимается свойство объекта вступать во взаимодействие с другими объектами (процессами, системами), при котором участвующие в указанном взаимодействии объекты не в полной мере исключают друг друга, в связи с чем содержащееся в описании объекта закупки требование «система совместима с интерактивными досками и ЖК-дисплеями» неправомерно, поскольку рельсовая система не имеет рабочих процессов и систем и данные товары не могут вступать во взаимодействие.</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свою очередь, Заявителем не представлено документов и информации, позволяющих определить отсутствие взаимодействия соответствующих объектов. На основании изложенного, Комиссия приходит к выводу, что в жалобе отсутствуют надлежащие доказательства (документы), подтверждающие обоснованность довода жалобы.</w:t>
      </w:r>
    </w:p>
    <w:p>
      <w:pPr>
        <w:pStyle w:val="Style12"/>
        <w:keepNext w:val="0"/>
        <w:keepLines w:val="0"/>
        <w:widowControl w:val="0"/>
        <w:numPr>
          <w:ilvl w:val="0"/>
          <w:numId w:val="3"/>
        </w:numPr>
        <w:shd w:val="clear" w:color="auto" w:fill="auto"/>
        <w:tabs>
          <w:tab w:pos="106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указывает, что сформированное описание объекта закупки вводит в заблуждение участников закупки и не позволяет однозначно определить соответствие характеристик конкретному товару.</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описании объекта закупки установлены требования к закупаемым товарам, в том числе:</w:t>
      </w:r>
    </w:p>
    <w:p>
      <w:pPr>
        <w:pStyle w:val="Style12"/>
        <w:keepNext w:val="0"/>
        <w:keepLines w:val="0"/>
        <w:widowControl w:val="0"/>
        <w:numPr>
          <w:ilvl w:val="0"/>
          <w:numId w:val="5"/>
        </w:numPr>
        <w:shd w:val="clear" w:color="auto" w:fill="auto"/>
        <w:tabs>
          <w:tab w:pos="97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антибликового защитного стекла;</w:t>
      </w:r>
    </w:p>
    <w:p>
      <w:pPr>
        <w:pStyle w:val="Style12"/>
        <w:keepNext w:val="0"/>
        <w:keepLines w:val="0"/>
        <w:widowControl w:val="0"/>
        <w:numPr>
          <w:ilvl w:val="0"/>
          <w:numId w:val="5"/>
        </w:numPr>
        <w:shd w:val="clear" w:color="auto" w:fill="auto"/>
        <w:tabs>
          <w:tab w:pos="97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безвентилярное охлаждение;</w:t>
      </w:r>
    </w:p>
    <w:p>
      <w:pPr>
        <w:pStyle w:val="Style12"/>
        <w:keepNext w:val="0"/>
        <w:keepLines w:val="0"/>
        <w:widowControl w:val="0"/>
        <w:numPr>
          <w:ilvl w:val="0"/>
          <w:numId w:val="5"/>
        </w:numPr>
        <w:shd w:val="clear" w:color="auto" w:fill="auto"/>
        <w:tabs>
          <w:tab w:pos="97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крепления в комплекте;</w:t>
      </w:r>
    </w:p>
    <w:p>
      <w:pPr>
        <w:pStyle w:val="Style12"/>
        <w:keepNext w:val="0"/>
        <w:keepLines w:val="0"/>
        <w:widowControl w:val="0"/>
        <w:numPr>
          <w:ilvl w:val="0"/>
          <w:numId w:val="5"/>
        </w:numPr>
        <w:shd w:val="clear" w:color="auto" w:fill="auto"/>
        <w:tabs>
          <w:tab w:pos="97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встроенного вычислительного блока;</w:t>
      </w:r>
    </w:p>
    <w:p>
      <w:pPr>
        <w:pStyle w:val="Style12"/>
        <w:keepNext w:val="0"/>
        <w:keepLines w:val="0"/>
        <w:widowControl w:val="0"/>
        <w:numPr>
          <w:ilvl w:val="0"/>
          <w:numId w:val="5"/>
        </w:numPr>
        <w:shd w:val="clear" w:color="auto" w:fill="auto"/>
        <w:tabs>
          <w:tab w:pos="97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руководство по эксплуатации изделия в комплекте поставки.</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Таким образом, участникам закупки не представляется возможным определить к какому из товаров (рельсовая доска, интерактивная панель) относятся данные требования. Подобное формирование извещения вводит в заблуждение участников закупки и нарушает ч.2 ст.42 Закона. Довод жалобы признан обоснованным.</w:t>
      </w:r>
    </w:p>
    <w:p>
      <w:pPr>
        <w:pStyle w:val="Style12"/>
        <w:keepNext w:val="0"/>
        <w:keepLines w:val="0"/>
        <w:widowControl w:val="0"/>
        <w:numPr>
          <w:ilvl w:val="0"/>
          <w:numId w:val="3"/>
        </w:numPr>
        <w:shd w:val="clear" w:color="auto" w:fill="auto"/>
        <w:tabs>
          <w:tab w:pos="102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Согласно доводам жалобы, Заказчиком нарушены положения Закона, выразившиеся в неустановлении запрета на допуск программного обеспечения, происходящего из иностранных государств, в соответствии с нормами Постановления Правительства РФ от 16.11.2015 № 1236 «Об </w:t>
      </w:r>
      <w:r>
        <w:rPr>
          <w:color w:val="000000"/>
          <w:spacing w:val="0"/>
          <w:w w:val="100"/>
          <w:position w:val="0"/>
          <w:sz w:val="24"/>
          <w:szCs w:val="24"/>
          <w:shd w:val="clear" w:color="auto" w:fill="auto"/>
          <w:lang w:val="ru-RU" w:eastAsia="ru-RU" w:bidi="ru-RU"/>
        </w:rPr>
        <w:t>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силу части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w:t>
      </w:r>
      <w:r>
        <w:rPr>
          <w:color w:val="000000"/>
          <w:spacing w:val="0"/>
          <w:w w:val="100"/>
          <w:position w:val="0"/>
          <w:sz w:val="24"/>
          <w:szCs w:val="24"/>
          <w:shd w:val="clear" w:color="auto" w:fill="auto"/>
          <w:lang w:val="ru-RU" w:eastAsia="ru-RU" w:bidi="ru-RU"/>
        </w:rPr>
        <w:t xml:space="preserve"> долю </w:t>
      </w:r>
      <w:r>
        <w:rPr>
          <w:color w:val="000000"/>
          <w:spacing w:val="0"/>
          <w:w w:val="100"/>
          <w:position w:val="0"/>
          <w:sz w:val="24"/>
          <w:szCs w:val="24"/>
          <w:shd w:val="clear" w:color="auto" w:fill="auto"/>
          <w:lang w:val="ru-RU" w:eastAsia="ru-RU" w:bidi="ru-RU"/>
        </w:rPr>
        <w:t xml:space="preserve">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r>
        <w:rPr>
          <w:color w:val="000000"/>
          <w:spacing w:val="0"/>
          <w:w w:val="100"/>
          <w:position w:val="0"/>
          <w:sz w:val="24"/>
          <w:szCs w:val="24"/>
          <w:shd w:val="clear" w:color="auto" w:fill="auto"/>
          <w:lang w:val="ru-RU" w:eastAsia="ru-RU" w:bidi="ru-RU"/>
        </w:rPr>
        <w:t>порядок</w:t>
      </w:r>
      <w:r>
        <w:rPr>
          <w:color w:val="000000"/>
          <w:spacing w:val="0"/>
          <w:w w:val="100"/>
          <w:position w:val="0"/>
          <w:sz w:val="24"/>
          <w:szCs w:val="24"/>
          <w:shd w:val="clear" w:color="auto" w:fill="auto"/>
          <w:lang w:val="ru-RU" w:eastAsia="ru-RU" w:bidi="ru-RU"/>
        </w:rP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Пунктом 2 Постановления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pPr>
        <w:pStyle w:val="Style12"/>
        <w:keepNext w:val="0"/>
        <w:keepLines w:val="0"/>
        <w:widowControl w:val="0"/>
        <w:numPr>
          <w:ilvl w:val="0"/>
          <w:numId w:val="7"/>
        </w:numPr>
        <w:shd w:val="clear" w:color="auto" w:fill="auto"/>
        <w:tabs>
          <w:tab w:pos="99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Style12"/>
        <w:keepNext w:val="0"/>
        <w:keepLines w:val="0"/>
        <w:widowControl w:val="0"/>
        <w:numPr>
          <w:ilvl w:val="0"/>
          <w:numId w:val="7"/>
        </w:numPr>
        <w:shd w:val="clear" w:color="auto" w:fill="auto"/>
        <w:tabs>
          <w:tab w:pos="1009"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п. 2(1) Постановления № 1236 для целей применения пункта 2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 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12"/>
        <w:keepNext w:val="0"/>
        <w:keepLines w:val="0"/>
        <w:widowControl w:val="0"/>
        <w:numPr>
          <w:ilvl w:val="0"/>
          <w:numId w:val="7"/>
        </w:numPr>
        <w:shd w:val="clear" w:color="auto" w:fill="auto"/>
        <w:tabs>
          <w:tab w:pos="100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w:t>
      </w:r>
      <w:r>
        <w:rPr>
          <w:color w:val="000000"/>
          <w:spacing w:val="0"/>
          <w:w w:val="100"/>
          <w:position w:val="0"/>
          <w:sz w:val="24"/>
          <w:szCs w:val="24"/>
          <w:shd w:val="clear" w:color="auto" w:fill="auto"/>
          <w:lang w:val="ru-RU" w:eastAsia="ru-RU" w:bidi="ru-RU"/>
        </w:rPr>
        <w:t>вычислительной техники, на которых программное обеспечение подлежит установке в результате исполнения контракта;</w:t>
      </w:r>
    </w:p>
    <w:p>
      <w:pPr>
        <w:pStyle w:val="Style12"/>
        <w:keepNext w:val="0"/>
        <w:keepLines w:val="0"/>
        <w:widowControl w:val="0"/>
        <w:numPr>
          <w:ilvl w:val="0"/>
          <w:numId w:val="7"/>
        </w:numPr>
        <w:shd w:val="clear" w:color="auto" w:fill="auto"/>
        <w:tabs>
          <w:tab w:pos="1030"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2"/>
        <w:keepNext w:val="0"/>
        <w:keepLines w:val="0"/>
        <w:widowControl w:val="0"/>
        <w:numPr>
          <w:ilvl w:val="0"/>
          <w:numId w:val="7"/>
        </w:numPr>
        <w:shd w:val="clear" w:color="auto" w:fill="auto"/>
        <w:tabs>
          <w:tab w:pos="1006"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отмечает, что запрет, определенный п. 2 Постановления № 1236, применяется исключительно в рамках выполнения контрактных обязательств, связанных с программным обеспечением и (или) правами на него, перечисленных в п. 2(1) Постановления № 1236. Аналогичная правовая позиция изложена в письме Минцифры России от 15.12.2022 № П11-2-05</w:t>
        <w:softHyphen/>
        <w:t>106-94501, письме Минфина России от 29.11.2022 №24-06-06/116710.</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Из извещения о проведении закупки следует, что Заказчиком установлено следующее требование - наличие программной оболочки, в том числе:</w:t>
      </w:r>
    </w:p>
    <w:p>
      <w:pPr>
        <w:pStyle w:val="Style12"/>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z w:val="24"/>
          <w:szCs w:val="24"/>
          <w:shd w:val="clear" w:color="auto" w:fill="auto"/>
          <w:lang w:val="ru-RU" w:eastAsia="ru-RU" w:bidi="ru-RU"/>
        </w:rPr>
        <w:t>«Программная оболочка должна быть зарегистрирована в реестре программ для ЭВМ.&lt;... &gt;</w:t>
      </w:r>
    </w:p>
    <w:p>
      <w:pPr>
        <w:pStyle w:val="Style12"/>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z w:val="24"/>
          <w:szCs w:val="24"/>
          <w:shd w:val="clear" w:color="auto" w:fill="auto"/>
          <w:lang w:val="ru-RU" w:eastAsia="ru-RU" w:bidi="ru-RU"/>
        </w:rPr>
        <w:t>В состав программной оболочки должна быть предустановлен бесплатная система мониторинга оборудования для информационной системы Заказчика на основе программно- аппаратных-технических средств».</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Вместе с тем согласно извещению, запрет на допуск программного обеспечения, происходящего из иностранных государств в соответствии </w:t>
      </w:r>
      <w:r>
        <w:rPr>
          <w:color w:val="000000"/>
          <w:spacing w:val="0"/>
          <w:w w:val="100"/>
          <w:position w:val="0"/>
          <w:sz w:val="24"/>
          <w:szCs w:val="24"/>
          <w:shd w:val="clear" w:color="auto" w:fill="auto"/>
          <w:lang w:val="ru-RU" w:eastAsia="ru-RU" w:bidi="ru-RU"/>
        </w:rPr>
        <w:t>Постановлением</w:t>
      </w:r>
      <w:r>
        <w:rPr>
          <w:color w:val="000000"/>
          <w:spacing w:val="0"/>
          <w:w w:val="100"/>
          <w:position w:val="0"/>
          <w:sz w:val="24"/>
          <w:szCs w:val="24"/>
          <w:shd w:val="clear" w:color="auto" w:fill="auto"/>
          <w:lang w:val="ru-RU" w:eastAsia="ru-RU" w:bidi="ru-RU"/>
        </w:rPr>
        <w:t xml:space="preserve"> № 1236 не установлен, обоснование невозможности применения запрета, не размещено.</w:t>
      </w:r>
    </w:p>
    <w:p>
      <w:pPr>
        <w:pStyle w:val="Style12"/>
        <w:keepNext w:val="0"/>
        <w:keepLines w:val="0"/>
        <w:widowControl w:val="0"/>
        <w:shd w:val="clear" w:color="auto" w:fill="auto"/>
        <w:bidi w:val="0"/>
        <w:spacing w:before="0" w:after="240" w:line="240" w:lineRule="auto"/>
        <w:ind w:left="0" w:right="0" w:firstLine="700"/>
        <w:jc w:val="both"/>
      </w:pPr>
      <w:r>
        <w:rPr>
          <w:color w:val="000000"/>
          <w:spacing w:val="0"/>
          <w:w w:val="100"/>
          <w:position w:val="0"/>
          <w:sz w:val="24"/>
          <w:szCs w:val="24"/>
          <w:shd w:val="clear" w:color="auto" w:fill="auto"/>
          <w:lang w:val="ru-RU" w:eastAsia="ru-RU" w:bidi="ru-RU"/>
        </w:rPr>
        <w:t>Довод жалобы признан обоснованным, Заказчик нарушившим ч.3 ст.14 Закона.</w:t>
      </w:r>
    </w:p>
    <w:p>
      <w:pPr>
        <w:pStyle w:val="Style12"/>
        <w:keepNext w:val="0"/>
        <w:keepLines w:val="0"/>
        <w:widowControl w:val="0"/>
        <w:numPr>
          <w:ilvl w:val="0"/>
          <w:numId w:val="3"/>
        </w:numPr>
        <w:shd w:val="clear" w:color="auto" w:fill="auto"/>
        <w:tabs>
          <w:tab w:pos="1001"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доводу жалобы, при описании объекта закупки Заказчиком ненадлежащим образом применен код ОКПД2 закупаемого товара, не использованы позиции Каталога товаров, работ, услуг (далее — КТРУ).</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ч.6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Во исполнение ч.6 ст.23 Закона Правительством Российской Федерации принято Постановление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использования каталога).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силу п. 4 Правил использования каталога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ЕИС каталога, с указанной в ней даты начала обязательного применения.</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9"/>
        </w:numPr>
        <w:shd w:val="clear" w:color="auto" w:fill="auto"/>
        <w:tabs>
          <w:tab w:pos="103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2"/>
        <w:keepNext w:val="0"/>
        <w:keepLines w:val="0"/>
        <w:widowControl w:val="0"/>
        <w:numPr>
          <w:ilvl w:val="0"/>
          <w:numId w:val="9"/>
        </w:numPr>
        <w:shd w:val="clear" w:color="auto" w:fill="auto"/>
        <w:tabs>
          <w:tab w:pos="1025"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9"/>
        </w:numPr>
        <w:shd w:val="clear" w:color="auto" w:fill="auto"/>
        <w:tabs>
          <w:tab w:pos="1044" w:val="left"/>
        </w:tabs>
        <w:bidi w:val="0"/>
        <w:spacing w:before="0" w:after="0" w:line="240" w:lineRule="auto"/>
        <w:ind w:left="0" w:right="0" w:firstLine="700"/>
        <w:jc w:val="both"/>
        <w:sectPr>
          <w:footerReference w:type="default" r:id="rId12"/>
          <w:footnotePr>
            <w:pos w:val="pageBottom"/>
            <w:numFmt w:val="decimal"/>
            <w:numRestart w:val="continuous"/>
          </w:footnotePr>
          <w:pgSz w:w="11900" w:h="16840"/>
          <w:pgMar w:top="1082" w:right="508" w:bottom="1139" w:left="1053" w:header="654" w:footer="3" w:gutter="0"/>
          <w:cols w:space="720"/>
          <w:noEndnote/>
          <w:rtlGutter w:val="0"/>
          <w:docGrid w:linePitch="360"/>
        </w:sectPr>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п.5 Правил использования каталога,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а) 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Каталог товаров, работ, услуг содержит товары, указанные в описании объекта закупки, в том числе:</w:t>
      </w:r>
    </w:p>
    <w:p>
      <w:pPr>
        <w:pStyle w:val="Style12"/>
        <w:keepNext w:val="0"/>
        <w:keepLines w:val="0"/>
        <w:widowControl w:val="0"/>
        <w:numPr>
          <w:ilvl w:val="0"/>
          <w:numId w:val="11"/>
        </w:numPr>
        <w:shd w:val="clear" w:color="auto" w:fill="auto"/>
        <w:tabs>
          <w:tab w:pos="1108" w:val="left"/>
          <w:tab w:pos="1137" w:val="left"/>
          <w:tab w:pos="3705" w:val="left"/>
          <w:tab w:pos="7098" w:val="left"/>
          <w:tab w:pos="8946"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32.99.53.130-00000009</w:t>
        <w:tab/>
        <w:t>«Доска магнитно-меловая»</w:t>
        <w:tab/>
        <w:t>(обязательное</w:t>
        <w:tab/>
        <w:t>применение</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 11.10.2020-Бессрочно);</w:t>
      </w:r>
    </w:p>
    <w:p>
      <w:pPr>
        <w:pStyle w:val="Style12"/>
        <w:keepNext w:val="0"/>
        <w:keepLines w:val="0"/>
        <w:widowControl w:val="0"/>
        <w:numPr>
          <w:ilvl w:val="0"/>
          <w:numId w:val="11"/>
        </w:numPr>
        <w:shd w:val="clear" w:color="auto" w:fill="auto"/>
        <w:tabs>
          <w:tab w:pos="1108" w:val="left"/>
          <w:tab w:pos="1137" w:val="left"/>
          <w:tab w:pos="3705" w:val="left"/>
          <w:tab w:pos="7098" w:val="left"/>
          <w:tab w:pos="8946"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26.20.13.000-00000003</w:t>
        <w:tab/>
        <w:t>«Интерактивная панель»</w:t>
        <w:tab/>
        <w:t>(обязательное</w:t>
        <w:tab/>
        <w:t>применение</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 16.04.2023- Бессрочно).</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Так, например, в позицию каталога «Интерактивная панель» включены следующие характеристики (выборочно из каталога): безвентилярное охлаждение, версия оперативной памяти □ЮК. дополнительного вычислительного блока, возможность игнорирования касаний экрана ладонью, возможность удаленного подключения, возможность подключения к сети ЕпТегпе! проводным способом и т.д., которые содержатся в оспариваемом описании объекта закупки.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Заказчик в возражениях отметил, что в КТРУ отсутствуют надлежащие позиции, удовлетворяющие всем потребностям учреждения.</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Данное утверждение Комиссия отклоняет в силу следующего.</w:t>
      </w:r>
    </w:p>
    <w:p>
      <w:pPr>
        <w:pStyle w:val="Style12"/>
        <w:keepNext w:val="0"/>
        <w:keepLines w:val="0"/>
        <w:widowControl w:val="0"/>
        <w:shd w:val="clear" w:color="auto" w:fill="auto"/>
        <w:bidi w:val="0"/>
        <w:spacing w:before="0" w:after="0" w:line="264" w:lineRule="auto"/>
        <w:ind w:left="0" w:right="0" w:firstLine="700"/>
        <w:jc w:val="both"/>
        <w:sectPr>
          <w:footerReference w:type="default" r:id="rId13"/>
          <w:footnotePr>
            <w:pos w:val="pageBottom"/>
            <w:numFmt w:val="decimal"/>
            <w:numRestart w:val="continuous"/>
          </w:footnotePr>
          <w:pgSz w:w="11900" w:h="16840"/>
          <w:pgMar w:top="1110" w:right="532" w:bottom="608" w:left="1106" w:header="682" w:footer="180" w:gutter="0"/>
          <w:cols w:space="720"/>
          <w:noEndnote/>
          <w:rtlGutter w:val="0"/>
          <w:docGrid w:linePitch="360"/>
        </w:sectPr>
      </w:pPr>
      <w:r>
        <w:rPr>
          <w:color w:val="000000"/>
          <w:spacing w:val="0"/>
          <w:w w:val="100"/>
          <w:position w:val="0"/>
          <w:sz w:val="24"/>
          <w:szCs w:val="24"/>
          <w:shd w:val="clear" w:color="auto" w:fill="auto"/>
          <w:lang w:val="ru-RU" w:eastAsia="ru-RU" w:bidi="ru-RU"/>
        </w:rPr>
        <w:t>Каталог товаров, работ и услуг создан для унификации предметов закупок, удалении избыточных требований, являющихся препятствием для формирования конкурентной среды на рынке предложения товаров и услуг. Каталог обеспечивает упрощение процедуры закупок, поскольку у заказчика отсутствует необходимость самостоятельно отбирать необходимые характеристики, отвечающие его требованиям, но так, чтобы не ограничить конкуренцию, поставщик же ориентируется на тот товар, работу, услугу, которая соответствует именно тем показателям, что внесены в Каталог. Все это в совокупности приводит к рациональному расходованию бюджетных средств, достижение поставленных результатов закупок, повышению 2023-10776</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уровня развития конкуренции на рынке, и как следствие, обеспечивает гарантированную реализацию региональных и национальных проектов.</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Каталог постоянно дополняется, совершенствуется и уточняется уполномоченными на это государственными органами. Таким образом, законодатель идет по пути приведения описания всех объектов закупки в соответствие с положениями КТРУ. При этом, итогом такого процесса станет всеобъемлющий набор характеристик в КТРУ, удовлетворяющий потребностям всех заказчиков. Также необходимо учитывать специфику регулирования в области национального режима. Подпункт «а» п.5 Правил использования КТРУ, установленный Постановлением Правительства Российской Федерации от 08.02.2017 №145, целенаправленно запрещает дополнять характеристики товара, указанного в позиции КТРУ, в случае, если закупка осуществляется с применением особенностей национального режима (как в настоящем случае). Данное регулирование направлено на защиту внутреннего рынка Российской Федерации, развития национальной экономики, поддержки российских товаропроизводителей.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Комиссией учтено, что в коды позиций, приведенных в жалобе, включены характеристики товара, что в совокупности с действующим национальным режимом (ограничение на допуск радиоэлектронной продукции, происходящей из иностранных государств) не позволяет Заказчику устанавливать дополнительные характеристики, не предусмотренные позицией КТРУ, в то время как не используя Каталог, Заказчик может предусмотреть любые требования к объекту закупки. Комиссия отмечает, что подобный обход Закона и Постановления Правительства Российской Федерации от 08.02.2017 №145 недопустим, не соответствует целям создания и ведения Каталога товаров, работ, услуг.</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 этом, отсутствие необходимой заказчику характеристики в позиции КТРУ, при ее фактическом соответствии объекту закупки, не может рассматриваться в качестве основания для неисполнения требований Постановления Правительства Российской Федерации от 08.02.2017 №145.</w:t>
      </w:r>
    </w:p>
    <w:p>
      <w:pPr>
        <w:pStyle w:val="Style12"/>
        <w:keepNext w:val="0"/>
        <w:keepLines w:val="0"/>
        <w:widowControl w:val="0"/>
        <w:shd w:val="clear" w:color="auto" w:fill="auto"/>
        <w:bidi w:val="0"/>
        <w:spacing w:before="0" w:after="240" w:line="240" w:lineRule="auto"/>
        <w:ind w:left="0" w:right="0" w:firstLine="700"/>
        <w:jc w:val="both"/>
      </w:pPr>
      <w:r>
        <w:rPr>
          <w:color w:val="000000"/>
          <w:spacing w:val="0"/>
          <w:w w:val="100"/>
          <w:position w:val="0"/>
          <w:sz w:val="24"/>
          <w:szCs w:val="24"/>
          <w:shd w:val="clear" w:color="auto" w:fill="auto"/>
          <w:lang w:val="ru-RU" w:eastAsia="ru-RU" w:bidi="ru-RU"/>
        </w:rPr>
        <w:t>На основании изложенного, Комиссия приходит к выводу, что действия Заказчика, намеренно не использовавшего Каталог товаров, работ, услуг для описания объекта закупки, не соответствуют требованиям п.4 Правил, предусмотренных Постановлением Правительства Российской Федерации от 08.02.2017 №145, нарушают ч.6 ст.23 Закона. Довод жалобы обоснован.</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7. В составе довода жалобы Заявитель указывает, что закупаемые Заказчиком товары входят в разные группы товаров, подпадающие под ограничения и запреты в соответствии с ч.3 ст.14 Закона. В обоснование довода приводит следующее:</w:t>
      </w:r>
    </w:p>
    <w:p>
      <w:pPr>
        <w:pStyle w:val="Style12"/>
        <w:keepNext w:val="0"/>
        <w:keepLines w:val="0"/>
        <w:widowControl w:val="0"/>
        <w:numPr>
          <w:ilvl w:val="0"/>
          <w:numId w:val="13"/>
        </w:numPr>
        <w:shd w:val="clear" w:color="auto" w:fill="auto"/>
        <w:tabs>
          <w:tab w:pos="907"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«Доска магнитно-меловая» (код КТРУ - 32.99.53.130-00000009) - закупаемый товар в соответствии с кодом ОКПД2 32.99.53.130 «Приборы, аппаратура и устройства учебные демонстрационные» включен в перечень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w:t>
      </w:r>
    </w:p>
    <w:p>
      <w:pPr>
        <w:pStyle w:val="Style12"/>
        <w:keepNext w:val="0"/>
        <w:keepLines w:val="0"/>
        <w:widowControl w:val="0"/>
        <w:numPr>
          <w:ilvl w:val="0"/>
          <w:numId w:val="13"/>
        </w:numPr>
        <w:shd w:val="clear" w:color="auto" w:fill="auto"/>
        <w:tabs>
          <w:tab w:pos="907"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«Интерактивная панель» (код КТРУ - 26.20.13.000-00000003) - закупаемый товар в соответствии с кодом ОКПД2 26.20.13 «Машины вычислительные электронные цифровые, содержащие в одном корпусе центральный процессор и устройство ввода и вывода, объединенные или нет для автоматической обработки данных» включен в перечень Постановления Правительства РФ от 10.07.2019 № 878 (ред. от 27.03.2023)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pPr>
        <w:pStyle w:val="Style12"/>
        <w:keepNext w:val="0"/>
        <w:keepLines w:val="0"/>
        <w:widowControl w:val="0"/>
        <w:numPr>
          <w:ilvl w:val="0"/>
          <w:numId w:val="13"/>
        </w:numPr>
        <w:shd w:val="clear" w:color="auto" w:fill="auto"/>
        <w:tabs>
          <w:tab w:pos="907"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Программное обеспечение (код ОКПД2 58.29) - закупаемый товар с соответствующим кодом ОКПД 2 включен в перечень Постановления №1236.</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 этом, положениями Постановления №617 и Постановления №878 установлено, что для целей ограничения допуска/запрета на допуск товаров, происходящих из иностранных государств, не могут быть предметом одного контракта (одного лота) товары, включенные в перечень, и товары, не включенные в него.</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силу изложенного, закупка товаров, относящихся к разным классам КТРУ и кодам ОКПД2 должна производиться путем проведения отдельных закупочных процедур. Указанное объединение может привести также и к неэффективному расходованию бюджетных средств.</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Довод жалобы признан обоснованным, Заказчик нарушившим ч.3 ст.14 Закона.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отмечает, что данное нарушение повлекло за собой неприменение одной из обязательных характеристик КТРУ 32.99.53.130-00000009 «Доска магнитно-меловая», 26.20.13.000-00000003 «Интерактивная панель».</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26.08.2013г. №728, в соответствии со ст.ст. 99,106 Закона,</w:t>
      </w:r>
    </w:p>
    <w:p>
      <w:pPr>
        <w:pStyle w:val="Style10"/>
        <w:keepNext/>
        <w:keepLines/>
        <w:widowControl w:val="0"/>
        <w:shd w:val="clear" w:color="auto" w:fill="auto"/>
        <w:bidi w:val="0"/>
        <w:spacing w:before="0" w:after="240" w:line="240" w:lineRule="auto"/>
        <w:ind w:left="0" w:right="0" w:firstLine="0"/>
        <w:jc w:val="center"/>
      </w:pPr>
      <w:bookmarkStart w:id="11" w:name="bookmark11"/>
      <w:r>
        <w:rPr>
          <w:color w:val="000000"/>
          <w:spacing w:val="0"/>
          <w:w w:val="100"/>
          <w:position w:val="0"/>
          <w:sz w:val="24"/>
          <w:szCs w:val="24"/>
          <w:shd w:val="clear" w:color="auto" w:fill="auto"/>
          <w:lang w:val="ru-RU" w:eastAsia="ru-RU" w:bidi="ru-RU"/>
        </w:rPr>
        <w:t>РЕШИЛА</w:t>
      </w:r>
      <w:r>
        <w:rPr>
          <w:b w:val="0"/>
          <w:bCs w:val="0"/>
          <w:color w:val="000000"/>
          <w:spacing w:val="0"/>
          <w:w w:val="100"/>
          <w:position w:val="0"/>
          <w:sz w:val="24"/>
          <w:szCs w:val="24"/>
          <w:shd w:val="clear" w:color="auto" w:fill="auto"/>
          <w:lang w:val="ru-RU" w:eastAsia="ru-RU" w:bidi="ru-RU"/>
        </w:rPr>
        <w:t>:</w:t>
      </w:r>
      <w:bookmarkEnd w:id="11"/>
    </w:p>
    <w:p>
      <w:pPr>
        <w:pStyle w:val="Style12"/>
        <w:keepNext w:val="0"/>
        <w:keepLines w:val="0"/>
        <w:widowControl w:val="0"/>
        <w:numPr>
          <w:ilvl w:val="0"/>
          <w:numId w:val="15"/>
        </w:numPr>
        <w:shd w:val="clear" w:color="auto" w:fill="auto"/>
        <w:tabs>
          <w:tab w:pos="103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Признать жалобу ООО «РАЗВИТИЕ ОБРАЗОВАНИЯ» частично обоснованной.</w:t>
      </w:r>
    </w:p>
    <w:p>
      <w:pPr>
        <w:pStyle w:val="Style12"/>
        <w:keepNext w:val="0"/>
        <w:keepLines w:val="0"/>
        <w:widowControl w:val="0"/>
        <w:numPr>
          <w:ilvl w:val="0"/>
          <w:numId w:val="15"/>
        </w:numPr>
        <w:shd w:val="clear" w:color="auto" w:fill="auto"/>
        <w:tabs>
          <w:tab w:pos="1058"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Признать Заказчика нарушившим ч.2 ст.42, ч.3 ст.14, ч.6 ст.23 Закона.</w:t>
      </w:r>
    </w:p>
    <w:p>
      <w:pPr>
        <w:pStyle w:val="Style12"/>
        <w:keepNext w:val="0"/>
        <w:keepLines w:val="0"/>
        <w:widowControl w:val="0"/>
        <w:numPr>
          <w:ilvl w:val="0"/>
          <w:numId w:val="15"/>
        </w:numPr>
        <w:shd w:val="clear" w:color="auto" w:fill="auto"/>
        <w:tabs>
          <w:tab w:pos="106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 об устранении допущенных нарушений путем отмены сформированных протоколов, аннулировании спорной закупки.</w:t>
      </w:r>
    </w:p>
    <w:p>
      <w:pPr>
        <w:pStyle w:val="Style12"/>
        <w:keepNext w:val="0"/>
        <w:keepLines w:val="0"/>
        <w:widowControl w:val="0"/>
        <w:numPr>
          <w:ilvl w:val="0"/>
          <w:numId w:val="15"/>
        </w:numPr>
        <w:shd w:val="clear" w:color="auto" w:fill="auto"/>
        <w:tabs>
          <w:tab w:pos="1069" w:val="left"/>
        </w:tabs>
        <w:bidi w:val="0"/>
        <w:spacing w:before="0" w:after="240" w:line="240" w:lineRule="auto"/>
        <w:ind w:left="0" w:right="0" w:firstLine="700"/>
        <w:jc w:val="both"/>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виновного должностного лица Заказчика.</w:t>
      </w:r>
    </w:p>
    <w:p>
      <w:pPr>
        <w:pStyle w:val="Style5"/>
        <w:keepNext w:val="0"/>
        <w:keepLines w:val="0"/>
        <w:widowControl w:val="0"/>
        <w:shd w:val="clear" w:color="auto" w:fill="auto"/>
        <w:bidi w:val="0"/>
        <w:spacing w:before="0" w:after="300" w:line="257" w:lineRule="auto"/>
        <w:ind w:left="0" w:right="0" w:firstLine="58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r>
    </w:p>
    <w:p>
      <w:pPr>
        <w:pStyle w:val="Style12"/>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М.А. Благодарев</w:t>
      </w:r>
    </w:p>
    <w:p>
      <w:pPr>
        <w:pStyle w:val="Style25"/>
        <w:keepNext w:val="0"/>
        <w:keepLines w:val="0"/>
        <w:widowControl w:val="0"/>
        <w:shd w:val="clear" w:color="auto" w:fill="auto"/>
        <w:bidi w:val="0"/>
        <w:spacing w:before="0"/>
        <w:ind w:right="0" w:firstLine="0"/>
        <w:jc w:val="left"/>
      </w:pPr>
      <w:r>
        <w:rPr>
          <w:spacing w:val="0"/>
          <w:w w:val="100"/>
          <w:position w:val="0"/>
          <w:shd w:val="clear" w:color="auto" w:fill="auto"/>
          <w:lang w:val="ru-RU" w:eastAsia="ru-RU" w:bidi="ru-RU"/>
        </w:rPr>
        <w:t>Мост для подписи:</w:t>
      </w:r>
    </w:p>
    <w:p>
      <w:pPr>
        <w:pStyle w:val="Style27"/>
        <w:keepNext/>
        <w:keepLines/>
        <w:widowControl w:val="0"/>
        <w:shd w:val="clear" w:color="auto" w:fill="auto"/>
        <w:bidi w:val="0"/>
        <w:spacing w:before="0" w:after="300" w:line="240" w:lineRule="auto"/>
        <w:ind w:right="0" w:firstLine="0"/>
        <w:jc w:val="left"/>
      </w:pPr>
      <w:bookmarkStart w:id="13" w:name="bookmark13"/>
      <w:r>
        <w:rPr>
          <w:spacing w:val="0"/>
          <w:w w:val="100"/>
          <w:position w:val="0"/>
          <w:sz w:val="24"/>
          <w:szCs w:val="24"/>
          <w:shd w:val="clear" w:color="auto" w:fill="auto"/>
          <w:lang w:val="ru-RU" w:eastAsia="ru-RU" w:bidi="ru-RU"/>
        </w:rPr>
        <w:t>Биа г одарии М. А.</w:t>
      </w:r>
      <w:bookmarkEnd w:id="13"/>
    </w:p>
    <w:p>
      <w:pPr>
        <w:pStyle w:val="Style12"/>
        <w:keepNext w:val="0"/>
        <w:keepLines w:val="0"/>
        <w:widowControl w:val="0"/>
        <w:shd w:val="clear" w:color="auto" w:fill="auto"/>
        <w:bidi w:val="0"/>
        <w:spacing w:before="0" w:after="10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2"/>
        <w:keepNext w:val="0"/>
        <w:keepLines w:val="0"/>
        <w:widowControl w:val="0"/>
        <w:shd w:val="clear" w:color="auto" w:fill="auto"/>
        <w:bidi w:val="0"/>
        <w:spacing w:before="0" w:after="160" w:line="240" w:lineRule="auto"/>
        <w:ind w:left="0" w:right="0" w:firstLine="0"/>
        <w:jc w:val="right"/>
      </w:pPr>
      <w:r>
        <w:rPr>
          <w:color w:val="000080"/>
          <w:spacing w:val="0"/>
          <w:w w:val="100"/>
          <w:position w:val="0"/>
          <w:sz w:val="24"/>
          <w:szCs w:val="24"/>
          <w:shd w:val="clear" w:color="auto" w:fill="auto"/>
          <w:lang w:val="ru-RU" w:eastAsia="ru-RU" w:bidi="ru-RU"/>
        </w:rPr>
        <w:t>А</w:t>
      </w:r>
      <w:r>
        <w:rPr>
          <w:color w:val="000000"/>
          <w:spacing w:val="0"/>
          <w:w w:val="100"/>
          <w:position w:val="0"/>
          <w:sz w:val="24"/>
          <w:szCs w:val="24"/>
          <w:shd w:val="clear" w:color="auto" w:fill="auto"/>
          <w:lang w:val="ru-RU" w:eastAsia="ru-RU" w:bidi="ru-RU"/>
        </w:rPr>
        <w:t>.А. Михарская</w:t>
      </w:r>
    </w:p>
    <w:p>
      <w:pPr>
        <w:pStyle w:val="Style25"/>
        <w:keepNext w:val="0"/>
        <w:keepLines w:val="0"/>
        <w:widowControl w:val="0"/>
        <w:shd w:val="clear" w:color="auto" w:fill="auto"/>
        <w:bidi w:val="0"/>
        <w:spacing w:before="0"/>
        <w:ind w:right="0" w:firstLine="0"/>
        <w:jc w:val="left"/>
      </w:pPr>
      <w:r>
        <w:rPr>
          <w:spacing w:val="0"/>
          <w:w w:val="100"/>
          <w:position w:val="0"/>
          <w:shd w:val="clear" w:color="auto" w:fill="auto"/>
          <w:lang w:val="ru-RU" w:eastAsia="ru-RU" w:bidi="ru-RU"/>
        </w:rPr>
        <w:t>Мест дня подписи:</w:t>
      </w:r>
    </w:p>
    <w:p>
      <w:pPr>
        <w:pStyle w:val="Style27"/>
        <w:keepNext/>
        <w:keepLines/>
        <w:widowControl w:val="0"/>
        <w:shd w:val="clear" w:color="auto" w:fill="auto"/>
        <w:bidi w:val="0"/>
        <w:spacing w:before="0" w:line="240" w:lineRule="auto"/>
        <w:ind w:right="0" w:firstLine="0"/>
        <w:jc w:val="left"/>
      </w:pPr>
      <w:bookmarkStart w:id="15" w:name="bookmark15"/>
      <w:r>
        <w:rPr>
          <w:spacing w:val="0"/>
          <w:w w:val="100"/>
          <w:position w:val="0"/>
          <w:sz w:val="24"/>
          <w:szCs w:val="24"/>
          <w:shd w:val="clear" w:color="auto" w:fill="auto"/>
          <w:lang w:val="ru-RU" w:eastAsia="ru-RU" w:bidi="ru-RU"/>
        </w:rPr>
        <w:t>Михарскан А. А.</w:t>
      </w:r>
      <w:bookmarkEnd w:id="15"/>
    </w:p>
    <w:p>
      <w:pPr>
        <w:pStyle w:val="Style12"/>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25"/>
        <w:keepNext w:val="0"/>
        <w:keepLines w:val="0"/>
        <w:widowControl w:val="0"/>
        <w:shd w:val="clear" w:color="auto" w:fill="auto"/>
        <w:bidi w:val="0"/>
        <w:spacing w:before="0"/>
        <w:ind w:right="0" w:firstLine="0"/>
        <w:jc w:val="left"/>
      </w:pPr>
      <w:r>
        <w:rPr>
          <w:spacing w:val="0"/>
          <w:w w:val="100"/>
          <w:position w:val="0"/>
          <w:shd w:val="clear" w:color="auto" w:fill="auto"/>
          <w:lang w:val="ru-RU" w:eastAsia="ru-RU" w:bidi="ru-RU"/>
        </w:rPr>
        <w:t>Мест для подписи:</w:t>
      </w:r>
    </w:p>
    <w:p>
      <w:pPr>
        <w:pStyle w:val="Style27"/>
        <w:keepNext/>
        <w:keepLines/>
        <w:widowControl w:val="0"/>
        <w:shd w:val="clear" w:color="auto" w:fill="auto"/>
        <w:bidi w:val="0"/>
        <w:spacing w:before="0" w:after="1840" w:line="240" w:lineRule="auto"/>
        <w:ind w:right="0" w:firstLine="0"/>
        <w:jc w:val="both"/>
      </w:pPr>
      <w:bookmarkStart w:id="17" w:name="bookmark17"/>
      <w:r>
        <w:rPr>
          <w:spacing w:val="0"/>
          <w:w w:val="100"/>
          <w:position w:val="0"/>
          <w:sz w:val="24"/>
          <w:szCs w:val="24"/>
          <w:shd w:val="clear" w:color="auto" w:fill="auto"/>
          <w:lang w:val="ru-RU" w:eastAsia="ru-RU" w:bidi="ru-RU"/>
        </w:rPr>
        <w:t>Верти А. А.</w:t>
      </w:r>
      <w:bookmarkEnd w:id="17"/>
    </w:p>
    <w:p>
      <w:pPr>
        <w:pStyle w:val="Style30"/>
        <w:keepNext w:val="0"/>
        <w:keepLines w:val="0"/>
        <w:widowControl w:val="0"/>
        <w:shd w:val="clear" w:color="auto" w:fill="auto"/>
        <w:bidi w:val="0"/>
        <w:spacing w:before="0" w:after="0" w:line="240" w:lineRule="auto"/>
        <w:ind w:left="0" w:right="0" w:firstLine="0"/>
        <w:jc w:val="left"/>
      </w:pPr>
      <w:r>
        <w:rPr>
          <w:color w:val="000000"/>
          <w:spacing w:val="0"/>
          <w:w w:val="100"/>
          <w:position w:val="0"/>
          <w:u w:val="none"/>
          <w:shd w:val="clear" w:color="auto" w:fill="auto"/>
          <w:lang w:val="ru-RU" w:eastAsia="ru-RU" w:bidi="ru-RU"/>
        </w:rPr>
        <w:t>Исп.Вертий А.А.</w:t>
      </w:r>
    </w:p>
    <w:p>
      <w:pPr>
        <w:pStyle w:val="Style30"/>
        <w:keepNext w:val="0"/>
        <w:keepLines w:val="0"/>
        <w:widowControl w:val="0"/>
        <w:shd w:val="clear" w:color="auto" w:fill="auto"/>
        <w:bidi w:val="0"/>
        <w:spacing w:before="0" w:after="200" w:line="240" w:lineRule="auto"/>
        <w:ind w:left="0" w:right="0" w:firstLine="0"/>
        <w:jc w:val="left"/>
      </w:pPr>
      <w:r>
        <w:rPr>
          <w:spacing w:val="0"/>
          <w:w w:val="100"/>
          <w:position w:val="0"/>
          <w:shd w:val="clear" w:color="auto" w:fill="auto"/>
          <w:lang w:val="ru-RU" w:eastAsia="ru-RU" w:bidi="ru-RU"/>
        </w:rPr>
        <w:t>тел.(863) 240-86-88, вн.061-132</w:t>
      </w:r>
    </w:p>
    <w:sectPr>
      <w:footerReference w:type="default" r:id="rId14"/>
      <w:footnotePr>
        <w:pos w:val="pageBottom"/>
        <w:numFmt w:val="decimal"/>
        <w:numRestart w:val="continuous"/>
      </w:footnotePr>
      <w:pgSz w:w="11900" w:h="16840"/>
      <w:pgMar w:top="1110" w:right="534" w:bottom="1232" w:left="1104" w:header="682"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9857740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2023-10776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margin-left:57.pt;margin-top:776.20000000000005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2023-10776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741680</wp:posOffset>
              </wp:positionH>
              <wp:positionV relativeFrom="page">
                <wp:posOffset>10033635</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2023-10776</w:t>
                          </w:r>
                        </w:p>
                      </w:txbxContent>
                    </wps:txbx>
                    <wps:bodyPr wrap="none" lIns="0" tIns="0" rIns="0" bIns="0">
                      <a:spAutoFit/>
                    </wps:bodyPr>
                  </wps:wsp>
                </a:graphicData>
              </a:graphic>
            </wp:anchor>
          </w:drawing>
        </mc:Choice>
        <mc:Fallback>
          <w:pict>
            <v:shape id="_x0000_s1035" type="#_x0000_t202" style="position:absolute;margin-left:58.399999999999999pt;margin-top:790.05000000000007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2023-10776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741680</wp:posOffset>
              </wp:positionH>
              <wp:positionV relativeFrom="page">
                <wp:posOffset>10033635</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2023-10776</w:t>
                          </w:r>
                        </w:p>
                      </w:txbxContent>
                    </wps:txbx>
                    <wps:bodyPr wrap="none" lIns="0" tIns="0" rIns="0" bIns="0">
                      <a:spAutoFit/>
                    </wps:bodyPr>
                  </wps:wsp>
                </a:graphicData>
              </a:graphic>
            </wp:anchor>
          </w:drawing>
        </mc:Choice>
        <mc:Fallback>
          <w:pict>
            <v:shape id="_x0000_s1037" type="#_x0000_t202" style="position:absolute;margin-left:58.399999999999999pt;margin-top:790.05000000000007pt;width:57.100000000000001pt;height:7.9000000000000004pt;z-index:-188744056;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2023-10776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3"/>
      <w:sz w:val="18"/>
      <w:szCs w:val="18"/>
      <w:u w:val="none"/>
    </w:rPr>
  </w:style>
  <w:style w:type="character" w:customStyle="1" w:styleId="CharStyle11">
    <w:name w:val="Заголовок №3_"/>
    <w:basedOn w:val="DefaultParagraphFont"/>
    <w:link w:val="Style10"/>
    <w:rPr>
      <w:rFonts w:ascii="Times New Roman" w:eastAsia="Times New Roman" w:hAnsi="Times New Roman" w:cs="Times New Roman"/>
      <w:b/>
      <w:bCs/>
      <w:i w:val="0"/>
      <w:iCs w:val="0"/>
      <w:smallCaps w:val="0"/>
      <w:strike w:val="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2"/>
      <w:szCs w:val="32"/>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26">
    <w:name w:val="Основной текст (4)_"/>
    <w:basedOn w:val="DefaultParagraphFont"/>
    <w:link w:val="Style25"/>
    <w:rPr>
      <w:rFonts w:ascii="Arial" w:eastAsia="Arial" w:hAnsi="Arial" w:cs="Arial"/>
      <w:b/>
      <w:bCs/>
      <w:i w:val="0"/>
      <w:iCs w:val="0"/>
      <w:smallCaps w:val="0"/>
      <w:strike w:val="0"/>
      <w:color w:val="888889"/>
      <w:sz w:val="22"/>
      <w:szCs w:val="22"/>
      <w:u w:val="none"/>
    </w:rPr>
  </w:style>
  <w:style w:type="character" w:customStyle="1" w:styleId="CharStyle28">
    <w:name w:val="Заголовок №2_"/>
    <w:basedOn w:val="DefaultParagraphFont"/>
    <w:link w:val="Style27"/>
    <w:rPr>
      <w:rFonts w:ascii="Arial" w:eastAsia="Arial" w:hAnsi="Arial" w:cs="Arial"/>
      <w:b/>
      <w:bCs/>
      <w:i w:val="0"/>
      <w:iCs w:val="0"/>
      <w:smallCaps w:val="0"/>
      <w:strike w:val="0"/>
      <w:color w:val="888889"/>
      <w:u w:val="none"/>
    </w:rPr>
  </w:style>
  <w:style w:type="character" w:customStyle="1" w:styleId="CharStyle31">
    <w:name w:val="Основной текст (5)_"/>
    <w:basedOn w:val="DefaultParagraphFont"/>
    <w:link w:val="Style30"/>
    <w:rPr>
      <w:rFonts w:ascii="Times New Roman" w:eastAsia="Times New Roman" w:hAnsi="Times New Roman" w:cs="Times New Roman"/>
      <w:b w:val="0"/>
      <w:bCs w:val="0"/>
      <w:i w:val="0"/>
      <w:iCs w:val="0"/>
      <w:smallCaps w:val="0"/>
      <w:strike w:val="0"/>
      <w:color w:val="000080"/>
      <w:sz w:val="18"/>
      <w:szCs w:val="18"/>
      <w:u w:val="single"/>
    </w:rPr>
  </w:style>
  <w:style w:type="paragraph" w:customStyle="1" w:styleId="Style2">
    <w:name w:val="Основной текст (3)"/>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Основной текст (2)"/>
    <w:basedOn w:val="Normal"/>
    <w:link w:val="CharStyle6"/>
    <w:pPr>
      <w:widowControl w:val="0"/>
      <w:shd w:val="clear" w:color="auto" w:fill="auto"/>
      <w:spacing w:after="250" w:line="247" w:lineRule="auto"/>
      <w:ind w:firstLine="290"/>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3"/>
      <w:sz w:val="18"/>
      <w:szCs w:val="18"/>
      <w:u w:val="none"/>
    </w:rPr>
  </w:style>
  <w:style w:type="paragraph" w:customStyle="1" w:styleId="Style10">
    <w:name w:val="Заголовок №3"/>
    <w:basedOn w:val="Normal"/>
    <w:link w:val="CharStyle11"/>
    <w:pPr>
      <w:widowControl w:val="0"/>
      <w:shd w:val="clear" w:color="auto" w:fill="auto"/>
      <w:outlineLvl w:val="2"/>
    </w:pPr>
    <w:rPr>
      <w:rFonts w:ascii="Times New Roman" w:eastAsia="Times New Roman" w:hAnsi="Times New Roman" w:cs="Times New Roman"/>
      <w:b/>
      <w:bCs/>
      <w:i w:val="0"/>
      <w:iCs w:val="0"/>
      <w:smallCaps w:val="0"/>
      <w:strike w:val="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outlineLvl w:val="0"/>
    </w:pPr>
    <w:rPr>
      <w:rFonts w:ascii="Arial" w:eastAsia="Arial" w:hAnsi="Arial" w:cs="Arial"/>
      <w:b w:val="0"/>
      <w:bCs w:val="0"/>
      <w:i w:val="0"/>
      <w:iCs w:val="0"/>
      <w:smallCaps w:val="0"/>
      <w:strike w:val="0"/>
      <w:sz w:val="32"/>
      <w:szCs w:val="32"/>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5">
    <w:name w:val="Основной текст (4)"/>
    <w:basedOn w:val="Normal"/>
    <w:link w:val="CharStyle26"/>
    <w:pPr>
      <w:widowControl w:val="0"/>
      <w:shd w:val="clear" w:color="auto" w:fill="auto"/>
      <w:spacing w:after="100" w:line="262" w:lineRule="auto"/>
      <w:ind w:left="3380"/>
    </w:pPr>
    <w:rPr>
      <w:rFonts w:ascii="Arial" w:eastAsia="Arial" w:hAnsi="Arial" w:cs="Arial"/>
      <w:b/>
      <w:bCs/>
      <w:i w:val="0"/>
      <w:iCs w:val="0"/>
      <w:smallCaps w:val="0"/>
      <w:strike w:val="0"/>
      <w:color w:val="888889"/>
      <w:sz w:val="22"/>
      <w:szCs w:val="22"/>
      <w:u w:val="none"/>
    </w:rPr>
  </w:style>
  <w:style w:type="paragraph" w:customStyle="1" w:styleId="Style27">
    <w:name w:val="Заголовок №2"/>
    <w:basedOn w:val="Normal"/>
    <w:link w:val="CharStyle28"/>
    <w:pPr>
      <w:widowControl w:val="0"/>
      <w:shd w:val="clear" w:color="auto" w:fill="auto"/>
      <w:spacing w:after="580"/>
      <w:ind w:left="3380"/>
      <w:outlineLvl w:val="1"/>
    </w:pPr>
    <w:rPr>
      <w:rFonts w:ascii="Arial" w:eastAsia="Arial" w:hAnsi="Arial" w:cs="Arial"/>
      <w:b/>
      <w:bCs/>
      <w:i w:val="0"/>
      <w:iCs w:val="0"/>
      <w:smallCaps w:val="0"/>
      <w:strike w:val="0"/>
      <w:color w:val="888889"/>
      <w:u w:val="none"/>
    </w:rPr>
  </w:style>
  <w:style w:type="paragraph" w:customStyle="1" w:styleId="Style30">
    <w:name w:val="Основной текст (5)"/>
    <w:basedOn w:val="Normal"/>
    <w:link w:val="CharStyle31"/>
    <w:pPr>
      <w:widowControl w:val="0"/>
      <w:shd w:val="clear" w:color="auto" w:fill="auto"/>
      <w:spacing w:after="100"/>
    </w:pPr>
    <w:rPr>
      <w:rFonts w:ascii="Times New Roman" w:eastAsia="Times New Roman" w:hAnsi="Times New Roman" w:cs="Times New Roman"/>
      <w:b w:val="0"/>
      <w:bCs w:val="0"/>
      <w:i w:val="0"/>
      <w:iCs w:val="0"/>
      <w:smallCaps w:val="0"/>
      <w:strike w:val="0"/>
      <w:color w:val="000080"/>
      <w:sz w:val="18"/>
      <w:szCs w:val="18"/>
      <w:u w:val="singl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oter" Target="footer4.xml"/></Relationships>
</file>