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38" w:h="1522" w:wrap="none" w:hAnchor="page" w:x="1453" w:y="1734"/>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2"/>
        <w:keepNext w:val="0"/>
        <w:keepLines w:val="0"/>
        <w:framePr w:w="3538" w:h="1522" w:wrap="none" w:hAnchor="page" w:x="1453" w:y="1734"/>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е-таП: ю19(&amp;Дая.ао\'.ги</w:t>
      </w:r>
    </w:p>
    <w:p>
      <w:pPr>
        <w:pStyle w:val="Style7"/>
        <w:keepNext/>
        <w:keepLines/>
        <w:framePr w:w="4061" w:h="2314" w:wrap="none" w:hAnchor="page" w:x="1141" w:y="3500"/>
        <w:widowControl w:val="0"/>
        <w:shd w:val="clear" w:color="auto" w:fill="auto"/>
        <w:tabs>
          <w:tab w:pos="1978" w:val="left"/>
        </w:tabs>
        <w:bidi w:val="0"/>
        <w:spacing w:before="0" w:line="240" w:lineRule="auto"/>
        <w:ind w:left="0" w:right="0"/>
        <w:jc w:val="left"/>
      </w:pPr>
      <w:bookmarkStart w:id="0" w:name="bookmark0"/>
      <w:r>
        <w:rPr>
          <w:color w:val="000000"/>
          <w:spacing w:val="0"/>
          <w:w w:val="100"/>
          <w:position w:val="0"/>
          <w:shd w:val="clear" w:color="auto" w:fill="auto"/>
          <w:lang w:val="ru-RU" w:eastAsia="ru-RU" w:bidi="ru-RU"/>
        </w:rPr>
        <w:t>01.06.2023</w:t>
        <w:tab/>
        <w:t>№ 4250/23</w:t>
      </w:r>
      <w:bookmarkEnd w:id="0"/>
    </w:p>
    <w:p>
      <w:pPr>
        <w:pStyle w:val="Style5"/>
        <w:keepNext w:val="0"/>
        <w:keepLines w:val="0"/>
        <w:framePr w:w="4061" w:h="2314" w:wrap="none" w:hAnchor="page" w:x="1141" w:y="3500"/>
        <w:widowControl w:val="0"/>
        <w:shd w:val="clear" w:color="auto" w:fill="auto"/>
        <w:bidi w:val="0"/>
        <w:spacing w:before="0" w:after="68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0"/>
        <w:keepNext w:val="0"/>
        <w:keepLines w:val="0"/>
        <w:framePr w:w="4061" w:h="2314" w:wrap="none" w:hAnchor="page" w:x="1141" w:y="3500"/>
        <w:widowControl w:val="0"/>
        <w:shd w:val="clear" w:color="auto" w:fill="auto"/>
        <w:bidi w:val="0"/>
        <w:spacing w:before="0" w:after="0" w:line="240"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Решение по жалобе</w:t>
      </w:r>
    </w:p>
    <w:p>
      <w:pPr>
        <w:pStyle w:val="Style10"/>
        <w:keepNext w:val="0"/>
        <w:keepLines w:val="0"/>
        <w:framePr w:w="4061" w:h="2314" w:wrap="none" w:hAnchor="page" w:x="1141" w:y="3500"/>
        <w:widowControl w:val="0"/>
        <w:shd w:val="clear" w:color="auto" w:fill="auto"/>
        <w:bidi w:val="0"/>
        <w:spacing w:before="0" w:after="0" w:line="240"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№019/06/106-504/2023</w:t>
      </w:r>
    </w:p>
    <w:p>
      <w:pPr>
        <w:pStyle w:val="Style10"/>
        <w:keepNext w:val="0"/>
        <w:keepLines w:val="0"/>
        <w:framePr w:w="4061" w:h="2314" w:wrap="none" w:hAnchor="page" w:x="1141" w:y="3500"/>
        <w:widowControl w:val="0"/>
        <w:shd w:val="clear" w:color="auto" w:fill="auto"/>
        <w:bidi w:val="0"/>
        <w:spacing w:before="0" w:after="160" w:line="240"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(АО «Елатомский приборный завод»)</w:t>
      </w:r>
    </w:p>
    <w:p>
      <w:pPr>
        <w:pStyle w:val="Style10"/>
        <w:keepNext w:val="0"/>
        <w:keepLines w:val="0"/>
        <w:framePr w:w="4862" w:h="8021" w:wrap="none" w:hAnchor="page" w:x="6406" w:y="932"/>
        <w:widowControl w:val="0"/>
        <w:shd w:val="clear" w:color="auto" w:fill="auto"/>
        <w:bidi w:val="0"/>
        <w:spacing w:before="0" w:after="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Заявителю -</w:t>
      </w:r>
    </w:p>
    <w:p>
      <w:pPr>
        <w:pStyle w:val="Style10"/>
        <w:keepNext w:val="0"/>
        <w:keepLines w:val="0"/>
        <w:framePr w:w="4862" w:h="8021" w:wrap="none" w:hAnchor="page" w:x="6406" w:y="932"/>
        <w:widowControl w:val="0"/>
        <w:shd w:val="clear" w:color="auto" w:fill="auto"/>
        <w:bidi w:val="0"/>
        <w:spacing w:before="0" w:after="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Акционерному обществу «Елатомский приборный завод»</w:t>
      </w:r>
    </w:p>
    <w:p>
      <w:pPr>
        <w:pStyle w:val="Style10"/>
        <w:keepNext w:val="0"/>
        <w:keepLines w:val="0"/>
        <w:framePr w:w="4862" w:h="8021" w:wrap="none" w:hAnchor="page" w:x="6406" w:y="932"/>
        <w:widowControl w:val="0"/>
        <w:shd w:val="clear" w:color="auto" w:fill="auto"/>
        <w:bidi w:val="0"/>
        <w:spacing w:before="0" w:after="26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Рязанская область, р-н Касимовский, рп. Елатьма, ул. Янина, д.25 1айш2008@е1ашес1.сот</w:t>
      </w:r>
    </w:p>
    <w:p>
      <w:pPr>
        <w:pStyle w:val="Style10"/>
        <w:keepNext w:val="0"/>
        <w:keepLines w:val="0"/>
        <w:framePr w:w="4862" w:h="8021" w:wrap="none" w:hAnchor="page" w:x="6406" w:y="932"/>
        <w:widowControl w:val="0"/>
        <w:shd w:val="clear" w:color="auto" w:fill="auto"/>
        <w:bidi w:val="0"/>
        <w:spacing w:before="0" w:after="0" w:line="262"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Субъектам контроля -</w:t>
      </w:r>
    </w:p>
    <w:p>
      <w:pPr>
        <w:pStyle w:val="Style10"/>
        <w:keepNext w:val="0"/>
        <w:keepLines w:val="0"/>
        <w:framePr w:w="4862" w:h="8021" w:wrap="none" w:hAnchor="page" w:x="6406" w:y="932"/>
        <w:widowControl w:val="0"/>
        <w:shd w:val="clear" w:color="auto" w:fill="auto"/>
        <w:bidi w:val="0"/>
        <w:spacing w:before="0" w:after="260" w:line="262"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 помещение 46Н, ул. Кирова, 99Б, г. Абакан, Республика Хакасия, 655017 дх@г-19.га</w:t>
      </w:r>
    </w:p>
    <w:p>
      <w:pPr>
        <w:pStyle w:val="Style10"/>
        <w:keepNext w:val="0"/>
        <w:keepLines w:val="0"/>
        <w:framePr w:w="4862" w:h="8021" w:wrap="none" w:hAnchor="page" w:x="6406" w:y="932"/>
        <w:widowControl w:val="0"/>
        <w:shd w:val="clear" w:color="auto" w:fill="auto"/>
        <w:bidi w:val="0"/>
        <w:spacing w:before="0" w:after="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Государственному бюджетному учреждению здравоохранения Республики Хакасия «Республиканский центр профилактики и борьбы со СПИД»</w:t>
      </w:r>
    </w:p>
    <w:p>
      <w:pPr>
        <w:pStyle w:val="Style10"/>
        <w:keepNext w:val="0"/>
        <w:keepLines w:val="0"/>
        <w:framePr w:w="4862" w:h="8021" w:wrap="none" w:hAnchor="page" w:x="6406" w:y="932"/>
        <w:widowControl w:val="0"/>
        <w:shd w:val="clear" w:color="auto" w:fill="auto"/>
        <w:bidi w:val="0"/>
        <w:spacing w:before="0" w:after="26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Республика Хакасия, город Абакан, улица Заводская, дом 3 а!с18@а1(1819.ш а!(18@г-19.ш</w:t>
      </w:r>
    </w:p>
    <w:p>
      <w:pPr>
        <w:pStyle w:val="Style10"/>
        <w:keepNext w:val="0"/>
        <w:keepLines w:val="0"/>
        <w:framePr w:w="4862" w:h="8021" w:wrap="none" w:hAnchor="page" w:x="6406" w:y="932"/>
        <w:widowControl w:val="0"/>
        <w:shd w:val="clear" w:color="auto" w:fill="auto"/>
        <w:bidi w:val="0"/>
        <w:spacing w:before="0" w:after="26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Оператору электронной площадки - ООО «РТС - тендер» ко@П8-1еп(1ег.ш</w:t>
      </w:r>
    </w:p>
    <w:p>
      <w:pPr>
        <w:pStyle w:val="Style10"/>
        <w:keepNext w:val="0"/>
        <w:keepLines w:val="0"/>
        <w:framePr w:w="4862" w:h="8021" w:wrap="none" w:hAnchor="page" w:x="6406" w:y="932"/>
        <w:widowControl w:val="0"/>
        <w:shd w:val="clear" w:color="auto" w:fill="auto"/>
        <w:bidi w:val="0"/>
        <w:spacing w:before="0" w:after="260"/>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Извещение №0380200000123002627</w:t>
      </w:r>
    </w:p>
    <w:p>
      <w:pPr>
        <w:pStyle w:val="Style13"/>
        <w:keepNext w:val="0"/>
        <w:keepLines w:val="0"/>
        <w:framePr w:w="4166" w:h="734" w:wrap="none" w:hAnchor="page" w:x="4150" w:y="9246"/>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br/>
        <w:t>по жалобе № 019/06/106-504/2023</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8"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36" w:bottom="1216" w:left="996" w:header="0" w:footer="3" w:gutter="0"/>
          <w:pgNumType w:start="1"/>
          <w:cols w:space="720"/>
          <w:noEndnote/>
          <w:titlePg/>
          <w:rtlGutter w:val="0"/>
          <w:docGrid w:linePitch="360"/>
        </w:sectPr>
      </w:pPr>
    </w:p>
    <w:p>
      <w:pPr>
        <w:pStyle w:val="Style13"/>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6429375</wp:posOffset>
                </wp:positionH>
                <wp:positionV relativeFrom="paragraph">
                  <wp:posOffset>12700</wp:posOffset>
                </wp:positionV>
                <wp:extent cx="725170" cy="216535"/>
                <wp:wrapSquare wrapText="left"/>
                <wp:docPr id="9" name="Shape 9"/>
                <a:graphic xmlns:a="http://schemas.openxmlformats.org/drawingml/2006/main">
                  <a:graphicData uri="http://schemas.microsoft.com/office/word/2010/wordprocessingShape">
                    <wps:wsp>
                      <wps:cNvSpPr txBox="1"/>
                      <wps:spPr>
                        <a:xfrm>
                          <a:ext cx="72517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wps:txbx>
                      <wps:bodyPr wrap="none" lIns="0" tIns="0" rIns="0" bIns="0">
                        <a:noAutoFit/>
                      </wps:bodyPr>
                    </wps:wsp>
                  </a:graphicData>
                </a:graphic>
              </wp:anchor>
            </w:drawing>
          </mc:Choice>
          <mc:Fallback>
            <w:pict>
              <v:shape id="_x0000_s1035" type="#_x0000_t202" style="position:absolute;margin-left:506.25pt;margin-top:1.pt;width:57.100000000000001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v:textbox>
                <w10:wrap type="square" side="left" anchorx="page"/>
              </v:shape>
            </w:pict>
          </mc:Fallback>
        </mc:AlternateContent>
      </w:r>
      <w:r>
        <w:rPr>
          <w:color w:val="000000"/>
          <w:spacing w:val="0"/>
          <w:w w:val="100"/>
          <w:position w:val="0"/>
          <w:shd w:val="clear" w:color="auto" w:fill="auto"/>
          <w:lang w:val="ru-RU" w:eastAsia="ru-RU" w:bidi="ru-RU"/>
        </w:rPr>
        <w:t>«29» мая 2023 года</w:t>
      </w:r>
    </w:p>
    <w:p>
      <w:pPr>
        <w:pStyle w:val="Style13"/>
        <w:keepNext w:val="0"/>
        <w:keepLines w:val="0"/>
        <w:widowControl w:val="0"/>
        <w:shd w:val="clear" w:color="auto" w:fill="auto"/>
        <w:bidi w:val="0"/>
        <w:spacing w:before="0" w:after="40" w:line="240" w:lineRule="auto"/>
        <w:ind w:left="0" w:right="0" w:firstLine="68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Хакасия по контролю закупок (далее - Комиссия) в составе:</w:t>
      </w:r>
    </w:p>
    <w:p>
      <w:pPr>
        <w:pStyle w:val="Style13"/>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Председателя комиссии:</w:t>
      </w:r>
    </w:p>
    <w:p>
      <w:pPr>
        <w:pStyle w:val="Style13"/>
        <w:keepNext w:val="0"/>
        <w:keepLines w:val="0"/>
        <w:widowControl w:val="0"/>
        <w:shd w:val="clear" w:color="auto" w:fill="auto"/>
        <w:bidi w:val="0"/>
        <w:spacing w:before="0" w:after="2300" w:line="240" w:lineRule="auto"/>
        <w:ind w:left="0" w:right="0" w:firstLine="0"/>
        <w:jc w:val="left"/>
      </w:pPr>
      <w:r>
        <w:rPr>
          <w:color w:val="000000"/>
          <w:spacing w:val="0"/>
          <w:w w:val="100"/>
          <w:position w:val="0"/>
          <w:shd w:val="clear" w:color="auto" w:fill="auto"/>
          <w:lang w:val="ru-RU" w:eastAsia="ru-RU" w:bidi="ru-RU"/>
        </w:rPr>
        <w:t>Членов комиссии:</w:t>
      </w:r>
    </w:p>
    <w:p>
      <w:pPr>
        <w:pStyle w:val="Style19"/>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3"/>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при участии представителей:</w:t>
      </w:r>
    </w:p>
    <w:p>
      <w:pPr>
        <w:pStyle w:val="Style13"/>
        <w:keepNext w:val="0"/>
        <w:keepLines w:val="0"/>
        <w:widowControl w:val="0"/>
        <w:shd w:val="clear" w:color="auto" w:fill="auto"/>
        <w:bidi w:val="0"/>
        <w:spacing w:before="0" w:after="1460"/>
        <w:ind w:left="0" w:right="0" w:firstLine="560"/>
        <w:jc w:val="both"/>
      </w:pPr>
      <w:r>
        <w:rPr>
          <w:i/>
          <w:iCs/>
          <w:color w:val="000000"/>
          <w:spacing w:val="0"/>
          <w:w w:val="100"/>
          <w:position w:val="0"/>
          <w:shd w:val="clear" w:color="auto" w:fill="auto"/>
          <w:lang w:val="ru-RU" w:eastAsia="ru-RU" w:bidi="ru-RU"/>
        </w:rPr>
        <w:t>уполномоченного органа -</w:t>
      </w:r>
      <w:r>
        <w:rPr>
          <w:color w:val="000000"/>
          <w:spacing w:val="0"/>
          <w:w w:val="100"/>
          <w:position w:val="0"/>
          <w:shd w:val="clear" w:color="auto" w:fill="auto"/>
          <w:lang w:val="ru-RU" w:eastAsia="ru-RU" w:bidi="ru-RU"/>
        </w:rPr>
        <w:t xml:space="preserve">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3"/>
        <w:keepNext w:val="0"/>
        <w:keepLines w:val="0"/>
        <w:widowControl w:val="0"/>
        <w:shd w:val="clear" w:color="auto" w:fill="auto"/>
        <w:bidi w:val="0"/>
        <w:spacing w:before="0" w:after="740"/>
        <w:ind w:left="0" w:right="0" w:firstLine="560"/>
        <w:jc w:val="both"/>
      </w:pPr>
      <w:r>
        <w:rPr>
          <w:i/>
          <w:iCs/>
          <w:color w:val="000000"/>
          <w:spacing w:val="0"/>
          <w:w w:val="100"/>
          <w:position w:val="0"/>
          <w:shd w:val="clear" w:color="auto" w:fill="auto"/>
          <w:lang w:val="ru-RU" w:eastAsia="ru-RU" w:bidi="ru-RU"/>
        </w:rPr>
        <w:t>государственного заказчика -</w:t>
      </w:r>
      <w:r>
        <w:rPr>
          <w:color w:val="000000"/>
          <w:spacing w:val="0"/>
          <w:w w:val="100"/>
          <w:position w:val="0"/>
          <w:shd w:val="clear" w:color="auto" w:fill="auto"/>
          <w:lang w:val="ru-RU" w:eastAsia="ru-RU" w:bidi="ru-RU"/>
        </w:rPr>
        <w:t xml:space="preserve"> Государственного бюджетного учреждения здравоохранения Республики Хакасия «Республиканский центр профилактики и борьбы со СПИД» (далее - ГБУЗ РХ «РЦПБ СПИД», Заказчик):</w:t>
      </w:r>
    </w:p>
    <w:p>
      <w:pPr>
        <w:pStyle w:val="Style13"/>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без участия представителя Заявителя -</w:t>
      </w:r>
      <w:r>
        <w:rPr>
          <w:color w:val="000000"/>
          <w:spacing w:val="0"/>
          <w:w w:val="100"/>
          <w:position w:val="0"/>
          <w:shd w:val="clear" w:color="auto" w:fill="auto"/>
          <w:lang w:val="ru-RU" w:eastAsia="ru-RU" w:bidi="ru-RU"/>
        </w:rPr>
        <w:t xml:space="preserve"> Акционерного общества «Елатомский приборный завод» (далее - Заявитель, Общество, АО «Елатомский ИЗ»), извещенного надлежащим образом о времени и месте рассмотрения жалобы,</w:t>
      </w:r>
    </w:p>
    <w:p>
      <w:pPr>
        <w:pStyle w:val="Style13"/>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АО «Елатомский ИЗ» на действия субъектов контроля при проведении электронного аукциона на поставку изделий медицинского назначения (Пробирка вакуумная для взятия образцов крови ИВД, с активатором свертывания и разделительным гелем) (извещение № 0380200000123002627)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3"/>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поступила жалоба Заявителя на действия Заказчика при проведении Аукциона.</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комиссии по осуществлению закупок, которая неправомерно признала победителем аукциона участника закупки с идентификационным номером 114221447, так как в заявке победителя отсутствует указание совокупного количества баллов за выполнение (освоение) на территории Российской Федерации соответствующих операций (условий) на предложенную продукцию, следовательно, такая заявка приравнивается к заявке, в которой содержится предложение о поставке товаров, происходящих из иностранных государств, и должна быть отклонена.</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Представители Заказчика и Госкомитета не согласились с доводами Заявителя, представив в материалы дела письменные пояснения, запрашиваемые документы и сообщили, что при проведении Аукциона Заказчик и комиссия по осуществлению закупок Госкомитета действовали в соответствии с положениями Закона о контрактной системе.</w:t>
      </w:r>
    </w:p>
    <w:p>
      <w:pPr>
        <w:pStyle w:val="Style13"/>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В ходе рассмотрения жалобы Заявителя на действия Заказчика 26.05.2023 в целях полного и всестороннего рассмотрения жалобы объявлен перерыв, заседание продолжилось в 13:30 29.05.2023.</w:t>
      </w:r>
    </w:p>
    <w:p>
      <w:pPr>
        <w:pStyle w:val="Style13"/>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электронными документами к нему, протоколами, составленными при определении поставщика (подрядчика, исполнителя):</w:t>
      </w:r>
    </w:p>
    <w:p>
      <w:pPr>
        <w:pStyle w:val="Style13"/>
        <w:keepNext w:val="0"/>
        <w:keepLines w:val="0"/>
        <w:widowControl w:val="0"/>
        <w:numPr>
          <w:ilvl w:val="0"/>
          <w:numId w:val="1"/>
        </w:numPr>
        <w:shd w:val="clear" w:color="auto" w:fill="auto"/>
        <w:tabs>
          <w:tab w:pos="892"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- 05.05.2023;</w:t>
      </w:r>
    </w:p>
    <w:p>
      <w:pPr>
        <w:pStyle w:val="Style13"/>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- 738 900,00 рублей;</w:t>
      </w:r>
    </w:p>
    <w:p>
      <w:pPr>
        <w:pStyle w:val="Style13"/>
        <w:keepNext w:val="0"/>
        <w:keepLines w:val="0"/>
        <w:widowControl w:val="0"/>
        <w:numPr>
          <w:ilvl w:val="0"/>
          <w:numId w:val="1"/>
        </w:numPr>
        <w:shd w:val="clear" w:color="auto" w:fill="auto"/>
        <w:tabs>
          <w:tab w:pos="91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3"/>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16.05.2023 12:30;</w:t>
      </w:r>
    </w:p>
    <w:p>
      <w:pPr>
        <w:pStyle w:val="Style13"/>
        <w:keepNext w:val="0"/>
        <w:keepLines w:val="0"/>
        <w:widowControl w:val="0"/>
        <w:numPr>
          <w:ilvl w:val="0"/>
          <w:numId w:val="1"/>
        </w:numPr>
        <w:shd w:val="clear" w:color="auto" w:fill="auto"/>
        <w:tabs>
          <w:tab w:pos="918"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16.05.2023;</w:t>
      </w:r>
    </w:p>
    <w:p>
      <w:pPr>
        <w:pStyle w:val="Style13"/>
        <w:keepNext w:val="0"/>
        <w:keepLines w:val="0"/>
        <w:widowControl w:val="0"/>
        <w:numPr>
          <w:ilvl w:val="0"/>
          <w:numId w:val="1"/>
        </w:numPr>
        <w:shd w:val="clear" w:color="auto" w:fill="auto"/>
        <w:tabs>
          <w:tab w:pos="898"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18.05.2023;</w:t>
      </w:r>
    </w:p>
    <w:p>
      <w:pPr>
        <w:pStyle w:val="Style13"/>
        <w:keepNext w:val="0"/>
        <w:keepLines w:val="0"/>
        <w:widowControl w:val="0"/>
        <w:numPr>
          <w:ilvl w:val="0"/>
          <w:numId w:val="1"/>
        </w:numPr>
        <w:shd w:val="clear" w:color="auto" w:fill="auto"/>
        <w:tabs>
          <w:tab w:pos="927" w:val="left"/>
        </w:tabs>
        <w:bidi w:val="0"/>
        <w:spacing w:before="0" w:after="0"/>
        <w:ind w:left="0" w:right="0" w:firstLine="560"/>
        <w:jc w:val="both"/>
      </w:pPr>
      <w:r>
        <w:rPr>
          <w:color w:val="000000"/>
          <w:spacing w:val="0"/>
          <w:w w:val="100"/>
          <w:position w:val="0"/>
          <w:shd w:val="clear" w:color="auto" w:fill="auto"/>
          <w:lang w:val="ru-RU" w:eastAsia="ru-RU" w:bidi="ru-RU"/>
        </w:rPr>
        <w:t>в соответствии с Протоколом подачи ценовых предложений от 16.05.2023 №ЦПА1 ценовые предложения подали 6 (шесть) участников, лучшее ценовое предложение поступило от участника с идентификационным номером 114221447 - 616 571,50 руб. (снижение от НМЦК - 16,56%);</w:t>
      </w:r>
    </w:p>
    <w:p>
      <w:pPr>
        <w:pStyle w:val="Style13"/>
        <w:keepNext w:val="0"/>
        <w:keepLines w:val="0"/>
        <w:widowControl w:val="0"/>
        <w:numPr>
          <w:ilvl w:val="0"/>
          <w:numId w:val="1"/>
        </w:numPr>
        <w:shd w:val="clear" w:color="auto" w:fill="auto"/>
        <w:tabs>
          <w:tab w:pos="1133" w:val="left"/>
        </w:tabs>
        <w:bidi w:val="0"/>
        <w:spacing w:before="0" w:after="180"/>
        <w:ind w:left="0" w:right="0" w:firstLine="560"/>
        <w:jc w:val="both"/>
      </w:pPr>
      <w:r>
        <w:rPr>
          <w:color w:val="000000"/>
          <w:spacing w:val="0"/>
          <w:w w:val="100"/>
          <w:position w:val="0"/>
          <w:shd w:val="clear" w:color="auto" w:fill="auto"/>
          <w:lang w:val="ru-RU" w:eastAsia="ru-RU" w:bidi="ru-RU"/>
        </w:rPr>
        <w:t>согласно Протокола подведения итогов определения поставщика (подрядчика, исполнителя) от 18.05.2023 №ИЭА1:</w:t>
      </w:r>
    </w:p>
    <w:p>
      <w:pPr>
        <w:pStyle w:val="Style13"/>
        <w:keepNext w:val="0"/>
        <w:keepLines w:val="0"/>
        <w:widowControl w:val="0"/>
        <w:numPr>
          <w:ilvl w:val="0"/>
          <w:numId w:val="3"/>
        </w:numPr>
        <w:shd w:val="clear" w:color="auto" w:fill="auto"/>
        <w:tabs>
          <w:tab w:pos="886" w:val="left"/>
        </w:tabs>
        <w:bidi w:val="0"/>
        <w:spacing w:before="0" w:after="0"/>
        <w:ind w:left="0" w:right="0" w:firstLine="560"/>
        <w:jc w:val="both"/>
      </w:pPr>
      <w:r>
        <w:rPr>
          <w:color w:val="000000"/>
          <w:spacing w:val="0"/>
          <w:w w:val="100"/>
          <w:position w:val="0"/>
          <w:shd w:val="clear" w:color="auto" w:fill="auto"/>
          <w:lang w:val="ru-RU" w:eastAsia="ru-RU" w:bidi="ru-RU"/>
        </w:rPr>
        <w:t>заявка участника закупки с идентификационным номером 114219045 отклонена на основании пункта 5 части 12 статьи 48, поскольку в нарушение пункта 5 части 1 статьи 43 Закона о контрактной системе, пункта 4 части 2 Требований к содержанию, составу заявки на участие в закупке: заявка участника не соответствует условиям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в соответствии с Постановлением Правительства РФ от 30.04.2020 № 616 (в составе заявки участника отсутствует номер реестровой записи из реестра российской промышленной продукции);</w:t>
      </w:r>
    </w:p>
    <w:p>
      <w:pPr>
        <w:pStyle w:val="Style13"/>
        <w:keepNext w:val="0"/>
        <w:keepLines w:val="0"/>
        <w:widowControl w:val="0"/>
        <w:numPr>
          <w:ilvl w:val="0"/>
          <w:numId w:val="3"/>
        </w:numPr>
        <w:shd w:val="clear" w:color="auto" w:fill="auto"/>
        <w:tabs>
          <w:tab w:pos="886" w:val="left"/>
        </w:tabs>
        <w:bidi w:val="0"/>
        <w:spacing w:before="0" w:after="0"/>
        <w:ind w:left="0" w:right="0" w:firstLine="560"/>
        <w:jc w:val="both"/>
      </w:pPr>
      <w:r>
        <w:rPr>
          <w:color w:val="000000"/>
          <w:spacing w:val="0"/>
          <w:w w:val="100"/>
          <w:position w:val="0"/>
          <w:shd w:val="clear" w:color="auto" w:fill="auto"/>
          <w:lang w:val="ru-RU" w:eastAsia="ru-RU" w:bidi="ru-RU"/>
        </w:rPr>
        <w:t>заявки участников закупки с идентификационными номерами 114221447, 114222286, 114225075, 114222916, 114220424 признаны соответствующими установленным требованиям;</w:t>
      </w:r>
    </w:p>
    <w:p>
      <w:pPr>
        <w:pStyle w:val="Style13"/>
        <w:keepNext w:val="0"/>
        <w:keepLines w:val="0"/>
        <w:widowControl w:val="0"/>
        <w:numPr>
          <w:ilvl w:val="0"/>
          <w:numId w:val="3"/>
        </w:numPr>
        <w:shd w:val="clear" w:color="auto" w:fill="auto"/>
        <w:tabs>
          <w:tab w:pos="886" w:val="left"/>
        </w:tabs>
        <w:bidi w:val="0"/>
        <w:spacing w:before="0" w:after="0"/>
        <w:ind w:left="0" w:right="0" w:firstLine="560"/>
        <w:jc w:val="both"/>
      </w:pPr>
      <w:r>
        <w:rPr>
          <w:color w:val="000000"/>
          <w:spacing w:val="0"/>
          <w:w w:val="100"/>
          <w:position w:val="0"/>
          <w:shd w:val="clear" w:color="auto" w:fill="auto"/>
          <w:lang w:val="ru-RU" w:eastAsia="ru-RU" w:bidi="ru-RU"/>
        </w:rPr>
        <w:t>победителем аукциона признан участник закупки с идентификационным № 114221447 (ООО «Юнимед-Импэкс») и с ценовым предложением 616571,50 руб.</w:t>
      </w:r>
    </w:p>
    <w:p>
      <w:pPr>
        <w:pStyle w:val="Style13"/>
        <w:keepNext w:val="0"/>
        <w:keepLines w:val="0"/>
        <w:widowControl w:val="0"/>
        <w:numPr>
          <w:ilvl w:val="0"/>
          <w:numId w:val="1"/>
        </w:numPr>
        <w:shd w:val="clear" w:color="auto" w:fill="auto"/>
        <w:tabs>
          <w:tab w:pos="911" w:val="left"/>
        </w:tabs>
        <w:bidi w:val="0"/>
        <w:spacing w:before="0" w:after="360"/>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Пунктом 15 части 1 статьи 42 Закона о контрактной системе установлено,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w:t>
      </w:r>
      <w:r>
        <w:rPr>
          <w:color w:val="000000"/>
          <w:spacing w:val="0"/>
          <w:w w:val="100"/>
          <w:position w:val="0"/>
          <w:shd w:val="clear" w:color="auto" w:fill="auto"/>
          <w:lang w:val="ru-RU" w:eastAsia="ru-RU" w:bidi="ru-RU"/>
        </w:rPr>
        <w:t>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Пунктом 1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w:t>
      </w:r>
      <w:r>
        <w:rPr>
          <w:color w:val="000000"/>
          <w:spacing w:val="0"/>
          <w:w w:val="100"/>
          <w:position w:val="0"/>
          <w:shd w:val="clear" w:color="auto" w:fill="auto"/>
          <w:lang w:val="ru-RU" w:eastAsia="ru-RU" w:bidi="ru-RU"/>
        </w:rPr>
        <w:t>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На заседании Комиссии установлено, что в рамках исполнения государственного контракта необходимо поставить изделие медицинского назначения - пробирка вакуумная для взятия образцов крови ИВД, с активатором свертывания и разделительным гелем. При описании объекта закупки Заказчиком применена позиция КТРУ 32.50.50.000-00001046.</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Как следует из информации, содержащейся в указанной Заказчиком позиции КТРУ 32.50.50.000-00001046, помимо кода ОКПД2 32.50.50.000, исключенного из общероссийского классификатора, содержится указание на коды 32.50.50.190, 32.50.13.190, а также код вида медицинского изделия в соответствии с номенклатурной классификацией медицинских изделий 293640.</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Пробирки вакуумные для взятия образцов крови ИВД, с активатором свертывания и разделительным гелем с кодами ОКПД 2 32.50.50.190, 32.50.13.190 и кодом вида медицинского изделия 293640 включены в утвержденный Постановлением № 616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(далее - перечень) (пункт 147).</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Согласно извещению о проведении электронного аукциона №0380200000123002627 Заказчиком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статьёй 14 Закона о контрактной </w:t>
      </w:r>
      <w:r>
        <w:rPr>
          <w:color w:val="000000"/>
          <w:spacing w:val="0"/>
          <w:w w:val="100"/>
          <w:position w:val="0"/>
          <w:shd w:val="clear" w:color="auto" w:fill="auto"/>
          <w:lang w:val="ru-RU" w:eastAsia="ru-RU" w:bidi="ru-RU"/>
        </w:rPr>
        <w:t>системе и Постановлением № 616.</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протокола подведения итогов от 18.05.2023 №ИЭА1 заявка участника закупки с идентификационным номером 114221447 признана соответствующей требованиям извещения.</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составе заявки участника закупки с идентификационным № 114221447 представлена выписка из реестра российской промышленной продукции (далее - РРПП) с указанием номера реестровой записи: 2553\26\2022 от 07.10.2022 (срок действия до 06.10.2025), при этом в графе «информация о совокупном количестве баллов» стоит прочерк.</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РРПП по номеру реестровой записи - 2553\26\2022 содержатся сведения о нахождении указанной продукции в реестре, кроме того, в разделе «сертификаты, патенты, знаки качества» по указанной реестровой записи содержится следующее: «для данной продукции баллы не предусмотрены — срок действия 06.10.2025».</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Таким образом, в РРПП в отношении указанного вида продукции однозначно указано, что баллы не предусмотрены до 06.10.2025 (с учетом срока действия заключения о подтверждении производства промышленной продукции на территории РФ от 07.10.2022 исх.100276/19, действующего до 06.10.2025).</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При этом, в пункте 28 Приложения к Постановлению Правительства Российской Федерации от 17 июля 2015 г. № 719 указано, что для продукции по коду: 22.29.29.190 «Вакуумные одноразовые пробирки» суммарное количество баллов должно быть не менее 60.</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Вместе с тем, указанное положение введено в действие Постановлением Правительства Российской Федерации от 29 декабря 2022 года № 2519 (вступило в силу 31.12.2022), в пункте 2 которого указано, что выданные Министерством промышленности и торговли Российской Федерации до дня вступления в силу изменений, утвержденных настоящим постановлением, заключения о подтверждении производства промышленной продукции на территории Российской Федерации в отношении продукции, включенной в разделы III, V, VII, XXI, XXV и XXVI приложения к постановлению Правительства Российской Федерации от 17 июля 2015 г. №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Указанная норма согласуется с пунктом 26 Постановления Правительства РФ от 17.07.2015 № 719, в которой указано, что по истечении срока действия заключения о подтверждении производства или в случае отзыва заключения о подтверждении производства Министерство промышленности и торговли Российской Федерации исключает промышленную продукцию, на которую выдано заключение о </w:t>
      </w:r>
      <w:r>
        <w:rPr>
          <w:color w:val="000000"/>
          <w:spacing w:val="0"/>
          <w:w w:val="100"/>
          <w:position w:val="0"/>
          <w:shd w:val="clear" w:color="auto" w:fill="auto"/>
          <w:lang w:val="ru-RU" w:eastAsia="ru-RU" w:bidi="ru-RU"/>
        </w:rPr>
        <w:t>подтверждении производства, из реестра российской промышленной продукции.</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Таким образом, из указанных положений Постановления Правительства РФ №719 и Постановления Правительства №2519 следует, что заключение о подтверждении производства продукции на территории РФ на продукцию, в отношении которой количество баллов не присваивалось на дату вступления в силу Постановления Правительства № 2519, являются действующими до окончания срока их действия, равно как и реестровые записи, присвоенные на основании выдачи указанных заключений.</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 учётом изложенного, а также того, что заключение о подтверждении производства продукции на товар, предложенный участником закупки с идентификационным номером 114221447 (победитель аукциона), выдано 07.10.2022, то есть до вступления в силу Постановления Правительства № 2519, то данное заключение, равно как и реестровая запись в РРПП в отношении указанной продукции, являются действующими, что также подтверждается сведениями из реестра, в котором указано: «для данной продукции баллы не предусмотрены — срок действия 06.10.2025».</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Таким образом, заявки участника закупка с идентификационным номером 114221447 соответствует установленным требованиям извещения, так как указание балло в выписке РРПП не предусмотрены до 06.10.2025 (с учетом срока действия заключения о подтверждении производства промышленной продукции на территории РФ от 07.10.2022 исх.100276/19, действующего до 06.10.2025).</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На основании вышеизложенного, комиссия Хакасского УФАС России приходит к выводу о том, что вопреки доводам Заявителя, заявка победителя содержала информацию и документы, предусмотренные нормативными правовыми актами, принятыми в соответствии со статьёй 14 Закона о контрактной системе, и оснований для её отклонения, в том числе предусмотренных пунктом 5 части 12 статьи 48 Закона о контрактной системе, у комиссия по осуществлению закупок не имелось.</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части 4 статьи 106 Закона о контрактной системе участник закупки, подавший жалобу, вправе представить информацию и документы, подтверждающие обоснованность доводов жалобы. Вместе с тем, Заявитель таким правом не воспользовался. В составе жалобы не представлено информации и документов, бесспорно свидетельствующих о нарушении комиссией по осуществлению закупок, Заказчиком положений Закона о контрактной системе при определении победителя электронного аукциона.</w:t>
      </w:r>
    </w:p>
    <w:p>
      <w:pPr>
        <w:pStyle w:val="Style13"/>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Довод Заявителя не нашел своего подтверждения. Жалоба не обоснована.</w:t>
      </w:r>
    </w:p>
    <w:p>
      <w:pPr>
        <w:pStyle w:val="Style13"/>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ходе внеплановой проверки комиссией установлено следующее.</w:t>
      </w:r>
    </w:p>
    <w:p>
      <w:pPr>
        <w:pStyle w:val="Style13"/>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разделе 12 Контракта Заказчиком предусмотрено в том числе следующее:</w:t>
      </w:r>
    </w:p>
    <w:p>
      <w:pPr>
        <w:pStyle w:val="Style10"/>
        <w:keepNext w:val="0"/>
        <w:keepLines w:val="0"/>
        <w:widowControl w:val="0"/>
        <w:shd w:val="clear" w:color="auto" w:fill="auto"/>
        <w:bidi w:val="0"/>
        <w:spacing w:before="0" w:after="0" w:line="276" w:lineRule="auto"/>
        <w:ind w:left="0" w:right="0" w:firstLine="560"/>
        <w:jc w:val="both"/>
      </w:pPr>
      <w:r>
        <w:rPr>
          <w:color w:val="000000"/>
          <w:spacing w:val="0"/>
          <w:w w:val="100"/>
          <w:position w:val="0"/>
          <w:sz w:val="24"/>
          <w:szCs w:val="24"/>
          <w:shd w:val="clear" w:color="auto" w:fill="auto"/>
          <w:lang w:val="ru-RU" w:eastAsia="ru-RU" w:bidi="ru-RU"/>
        </w:rPr>
        <w:t>«12.1. Стороны устанавливают, что все возможные разногласия, возникшие в ходе исполнения Контракта, должны быть рассмотрены в претензионном порядке. Претензия направляется по электронной почте, указанной в Контракте и/или высылается по почте заказным письмом с уведомлением о вручении. Датой получения претензии считается дата ее передачи по электронной почте, указанной в Контракте. Срок для ответа на претензию устанавливается 10 (десять) календарных дней со дня ее получения по электронной почте, указанной в Контракте, если иной срок не установлен в самой претензии. Ответ на претензию направляется по электронной почте, указанной в Контракте и/или высылается по почте заказным письмом с уведомлением о вручении.</w:t>
      </w:r>
    </w:p>
    <w:p>
      <w:pPr>
        <w:pStyle w:val="Style10"/>
        <w:keepNext w:val="0"/>
        <w:keepLines w:val="0"/>
        <w:widowControl w:val="0"/>
        <w:shd w:val="clear" w:color="auto" w:fill="auto"/>
        <w:bidi w:val="0"/>
        <w:spacing w:before="0" w:after="0" w:line="276" w:lineRule="auto"/>
        <w:ind w:left="0" w:right="0" w:firstLine="560"/>
        <w:jc w:val="both"/>
      </w:pPr>
      <w:r>
        <w:rPr>
          <w:color w:val="000000"/>
          <w:spacing w:val="0"/>
          <w:w w:val="100"/>
          <w:position w:val="0"/>
          <w:sz w:val="24"/>
          <w:szCs w:val="24"/>
          <w:shd w:val="clear" w:color="auto" w:fill="auto"/>
          <w:lang w:val="ru-RU" w:eastAsia="ru-RU" w:bidi="ru-RU"/>
        </w:rPr>
        <w:t>12.2. Неурегулированный Сторонами спор разрешается в Арбитражном суде Республики Хакасия, согласно действующего законодательства Российской Федерации.».</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Вместе с тем, с 01.07.2022 вступили в силу изменения, согласно которых в статью 94 Закона о контрактной системе введена часть 16, в которой установлено, что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3"/>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Учитывая, что в Контракте предусмотрен порядок по разрешению споров, комиссия полагает, что Заказчику необходимо при проведении последующих закупок внести изменения в положения Контракта в части электронного взаимодействия сторон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соответствии с актуальной редакцией Закона о </w:t>
      </w:r>
      <w:r>
        <w:rPr>
          <w:color w:val="000000"/>
          <w:spacing w:val="0"/>
          <w:w w:val="100"/>
          <w:position w:val="0"/>
          <w:shd w:val="clear" w:color="auto" w:fill="auto"/>
          <w:lang w:val="ru-RU" w:eastAsia="ru-RU" w:bidi="ru-RU"/>
        </w:rPr>
        <w:t>контрактной системе.</w:t>
      </w:r>
    </w:p>
    <w:p>
      <w:pPr>
        <w:pStyle w:val="Style13"/>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13"/>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360"/>
        <w:ind w:left="0" w:right="0" w:firstLine="560"/>
        <w:jc w:val="left"/>
      </w:pPr>
      <w:r>
        <w:rPr>
          <w:color w:val="000000"/>
          <w:spacing w:val="0"/>
          <w:w w:val="100"/>
          <w:position w:val="0"/>
          <w:shd w:val="clear" w:color="auto" w:fill="auto"/>
          <w:lang w:val="ru-RU" w:eastAsia="ru-RU" w:bidi="ru-RU"/>
        </w:rPr>
        <w:t>Признать жалобу АО «Елатомский ПЗ» необоснованной.</w:t>
      </w:r>
    </w:p>
    <w:p>
      <w:pPr>
        <w:pStyle w:val="Style10"/>
        <w:keepNext w:val="0"/>
        <w:keepLines w:val="0"/>
        <w:widowControl w:val="0"/>
        <w:shd w:val="clear" w:color="auto" w:fill="auto"/>
        <w:bidi w:val="0"/>
        <w:spacing w:before="0" w:after="360" w:line="276" w:lineRule="auto"/>
        <w:ind w:left="0" w:right="0" w:firstLine="560"/>
        <w:jc w:val="left"/>
      </w:pPr>
      <w:r>
        <w:rPr>
          <w:color w:val="000000"/>
          <w:spacing w:val="0"/>
          <w:w w:val="100"/>
          <w:position w:val="0"/>
          <w:sz w:val="24"/>
          <w:szCs w:val="24"/>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13"/>
        <w:keepNext w:val="0"/>
        <w:keepLines w:val="0"/>
        <w:widowControl w:val="0"/>
        <w:shd w:val="clear" w:color="auto" w:fill="auto"/>
        <w:bidi w:val="0"/>
        <w:spacing w:before="0" w:after="1360"/>
        <w:ind w:left="0" w:right="0" w:firstLine="0"/>
        <w:jc w:val="left"/>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360"/>
        <w:ind w:left="0" w:right="0" w:firstLine="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686" w:right="483" w:bottom="1291" w:left="104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716280</wp:posOffset>
              </wp:positionH>
              <wp:positionV relativeFrom="page">
                <wp:posOffset>10007600</wp:posOffset>
              </wp:positionV>
              <wp:extent cx="636905" cy="100330"/>
              <wp:wrapNone/>
              <wp:docPr id="5" name="Shape 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2023-4601</w:t>
                          </w:r>
                        </w:p>
                      </w:txbxContent>
                    </wps:txbx>
                    <wps:bodyPr wrap="none" lIns="0" tIns="0" rIns="0" bIns="0">
                      <a:spAutoFit/>
                    </wps:bodyPr>
                  </wps:wsp>
                </a:graphicData>
              </a:graphic>
            </wp:anchor>
          </w:drawing>
        </mc:Choice>
        <mc:Fallback>
          <w:pict>
            <v:shape id="_x0000_s1031" type="#_x0000_t202" style="position:absolute;margin-left:56.399999999999999pt;margin-top:788.pt;width:50.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2023-4601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2023-4601</w:t>
                          </w:r>
                        </w:p>
                      </w:txbxContent>
                    </wps:txbx>
                    <wps:bodyPr wrap="none" lIns="0" tIns="0" rIns="0" bIns="0">
                      <a:spAutoFit/>
                    </wps:bodyPr>
                  </wps:wsp>
                </a:graphicData>
              </a:graphic>
            </wp:anchor>
          </w:drawing>
        </mc:Choice>
        <mc:Fallback>
          <w:pict>
            <v:shape id="_x0000_s1033" type="#_x0000_t202" style="position:absolute;margin-left:57.pt;margin-top:776.20000000000005pt;width:50.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2023-4601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3904615</wp:posOffset>
              </wp:positionH>
              <wp:positionV relativeFrom="page">
                <wp:posOffset>753745</wp:posOffset>
              </wp:positionV>
              <wp:extent cx="128270" cy="100330"/>
              <wp:wrapNone/>
              <wp:docPr id="3" name="Shape 3"/>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44999999999999pt;margin-top:59.350000000000001pt;width:10.1pt;height:7.9000000000000004pt;z-index:-188744062;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5D9A"/>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5D9A"/>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 (2)_"/>
    <w:basedOn w:val="DefaultParagraphFont"/>
    <w:link w:val="Style10"/>
    <w:rPr>
      <w:rFonts w:ascii="Times New Roman" w:eastAsia="Times New Roman" w:hAnsi="Times New Roman" w:cs="Times New Roman"/>
      <w:b w:val="0"/>
      <w:bCs w:val="0"/>
      <w:i/>
      <w:iCs/>
      <w:smallCaps w:val="0"/>
      <w:strike w:val="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8"/>
      <w:szCs w:val="38"/>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5D9A"/>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65D9A"/>
      <w:sz w:val="19"/>
      <w:szCs w:val="19"/>
      <w:u w:val="none"/>
    </w:rPr>
  </w:style>
  <w:style w:type="paragraph" w:customStyle="1" w:styleId="Style7">
    <w:name w:val="Заголовок №2"/>
    <w:basedOn w:val="Normal"/>
    <w:link w:val="CharStyle8"/>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2)"/>
    <w:basedOn w:val="Normal"/>
    <w:link w:val="CharStyle11"/>
    <w:pPr>
      <w:widowControl w:val="0"/>
      <w:shd w:val="clear" w:color="auto" w:fill="auto"/>
      <w:spacing w:after="80" w:line="264" w:lineRule="auto"/>
    </w:pPr>
    <w:rPr>
      <w:rFonts w:ascii="Times New Roman" w:eastAsia="Times New Roman" w:hAnsi="Times New Roman" w:cs="Times New Roman"/>
      <w:b w:val="0"/>
      <w:bCs w:val="0"/>
      <w:i/>
      <w:iCs/>
      <w:smallCaps w:val="0"/>
      <w:strike w:val="0"/>
      <w:u w:val="none"/>
    </w:rPr>
  </w:style>
  <w:style w:type="paragraph" w:customStyle="1" w:styleId="Style13">
    <w:name w:val="Основной текст"/>
    <w:basedOn w:val="Normal"/>
    <w:link w:val="CharStyle14"/>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Заголовок №1"/>
    <w:basedOn w:val="Normal"/>
    <w:link w:val="CharStyle20"/>
    <w:pPr>
      <w:widowControl w:val="0"/>
      <w:shd w:val="clear" w:color="auto" w:fill="auto"/>
      <w:spacing w:after="32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Федеральный закон от 05.04.2013 N 44-ФЗ(ред. от 29.05.2023)"О контрактной системе в сфере закупок товаров, работ, услуг для обеспечения государственных и муниципальных нужд"</dc:title>
  <dc:subject/>
  <dc:creator/>
  <cp:keywords/>
</cp:coreProperties>
</file>