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ф</w:t>
      </w:r>
    </w:p>
    <w:p>
      <w:pPr>
        <w:pStyle w:val="Style7"/>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10"/>
        <w:keepNext w:val="0"/>
        <w:keepLines w:val="0"/>
        <w:widowControl w:val="0"/>
        <w:shd w:val="clear" w:color="auto" w:fill="auto"/>
        <w:bidi w:val="0"/>
        <w:spacing w:before="0" w:after="0" w:line="254" w:lineRule="auto"/>
        <w:ind w:left="0" w:right="0" w:firstLine="0"/>
        <w:jc w:val="center"/>
        <w:rPr>
          <w:sz w:val="19"/>
          <w:szCs w:val="19"/>
        </w:rPr>
      </w:pPr>
      <w:r>
        <w:rPr>
          <w:b/>
          <w:bCs/>
          <w:color w:val="4360A3"/>
          <w:spacing w:val="0"/>
          <w:w w:val="100"/>
          <w:position w:val="0"/>
          <w:sz w:val="19"/>
          <w:szCs w:val="19"/>
          <w:shd w:val="clear" w:color="auto" w:fill="auto"/>
          <w:lang w:val="ru-RU" w:eastAsia="ru-RU" w:bidi="ru-RU"/>
        </w:rPr>
        <w:t>УПРАВЛЕНИЕ</w:t>
      </w:r>
    </w:p>
    <w:p>
      <w:pPr>
        <w:pStyle w:val="Style10"/>
        <w:keepNext w:val="0"/>
        <w:keepLines w:val="0"/>
        <w:widowControl w:val="0"/>
        <w:shd w:val="clear" w:color="auto" w:fill="auto"/>
        <w:bidi w:val="0"/>
        <w:spacing w:before="0" w:after="200" w:line="254" w:lineRule="auto"/>
        <w:ind w:left="0" w:right="0" w:firstLine="0"/>
        <w:jc w:val="center"/>
        <w:rPr>
          <w:sz w:val="19"/>
          <w:szCs w:val="19"/>
        </w:rPr>
      </w:pPr>
      <w:r>
        <w:rPr>
          <w:b/>
          <w:bCs/>
          <w:color w:val="4360A3"/>
          <w:spacing w:val="0"/>
          <w:w w:val="100"/>
          <w:position w:val="0"/>
          <w:sz w:val="19"/>
          <w:szCs w:val="19"/>
          <w:shd w:val="clear" w:color="auto" w:fill="auto"/>
          <w:lang w:val="ru-RU" w:eastAsia="ru-RU" w:bidi="ru-RU"/>
        </w:rPr>
        <w:t>Федеральной антимонопольной службы</w:t>
        <w:br/>
        <w:t>по Республике Крым и городу Севастополю</w:t>
      </w:r>
    </w:p>
    <w:p>
      <w:pPr>
        <w:pStyle w:val="Style7"/>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Александра Невского, 1</w:t>
      </w:r>
    </w:p>
    <w:p>
      <w:pPr>
        <w:pStyle w:val="Style7"/>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Симферополь, Республика Крым, 295000</w:t>
        <w:br/>
        <w:t>тел. (499) 755-23-23 доб. 082-100</w:t>
        <w:br/>
        <w:t>е-тай: 1о82@Гав.§оу.ги</w:t>
      </w:r>
    </w:p>
    <w:p>
      <w:pPr>
        <w:pStyle w:val="Style13"/>
        <w:keepNext w:val="0"/>
        <w:keepLines w:val="0"/>
        <w:widowControl w:val="0"/>
        <w:shd w:val="clear" w:color="auto" w:fill="auto"/>
        <w:tabs>
          <w:tab w:pos="1817" w:val="left"/>
        </w:tabs>
        <w:bidi w:val="0"/>
        <w:spacing w:before="0" w:after="320" w:line="240" w:lineRule="auto"/>
        <w:ind w:left="0" w:right="0" w:firstLine="0"/>
        <w:jc w:val="both"/>
        <w:rPr>
          <w:sz w:val="30"/>
          <w:szCs w:val="30"/>
        </w:rPr>
      </w:pPr>
      <w:r>
        <w:rPr>
          <w:color w:val="000000"/>
          <w:spacing w:val="0"/>
          <w:w w:val="100"/>
          <w:position w:val="0"/>
          <w:sz w:val="30"/>
          <w:szCs w:val="30"/>
          <w:u w:val="single"/>
          <w:shd w:val="clear" w:color="auto" w:fill="auto"/>
          <w:lang w:val="ru-RU" w:eastAsia="ru-RU" w:bidi="ru-RU"/>
        </w:rPr>
        <w:t>2</w:t>
      </w:r>
      <w:r>
        <w:fldChar w:fldCharType="begin"/>
      </w:r>
      <w:r>
        <w:rPr/>
        <w:instrText> HYPERLINK "file://f207ca94-a13c-4ba0-b72d-f018c9eed8f1/" </w:instrText>
      </w:r>
      <w:r>
        <w:fldChar w:fldCharType="separate"/>
      </w:r>
      <w:r>
        <w:rPr>
          <w:color w:val="000000"/>
          <w:spacing w:val="0"/>
          <w:w w:val="100"/>
          <w:position w:val="0"/>
          <w:sz w:val="30"/>
          <w:szCs w:val="30"/>
          <w:u w:val="single"/>
          <w:shd w:val="clear" w:color="auto" w:fill="auto"/>
          <w:lang w:val="ru-RU" w:eastAsia="ru-RU" w:bidi="ru-RU"/>
        </w:rPr>
        <w:t>4,05.2023</w:t>
      </w:r>
      <w:r>
        <w:rPr>
          <w:color w:val="000000"/>
          <w:spacing w:val="0"/>
          <w:w w:val="100"/>
          <w:position w:val="0"/>
          <w:sz w:val="30"/>
          <w:szCs w:val="30"/>
          <w:shd w:val="clear" w:color="auto" w:fill="auto"/>
          <w:lang w:val="ru-RU" w:eastAsia="ru-RU" w:bidi="ru-RU"/>
        </w:rPr>
        <w:tab/>
      </w:r>
      <w:r>
        <w:fldChar w:fldCharType="end"/>
      </w:r>
      <w:r>
        <w:rPr>
          <w:color w:val="000000"/>
          <w:spacing w:val="0"/>
          <w:w w:val="100"/>
          <w:position w:val="0"/>
          <w:sz w:val="30"/>
          <w:szCs w:val="30"/>
          <w:shd w:val="clear" w:color="auto" w:fill="auto"/>
          <w:lang w:val="ru-RU" w:eastAsia="ru-RU" w:bidi="ru-RU"/>
        </w:rPr>
        <w:t xml:space="preserve">№ </w:t>
      </w:r>
      <w:r>
        <w:rPr>
          <w:color w:val="000000"/>
          <w:spacing w:val="0"/>
          <w:w w:val="100"/>
          <w:position w:val="0"/>
          <w:sz w:val="30"/>
          <w:szCs w:val="30"/>
          <w:u w:val="single"/>
          <w:shd w:val="clear" w:color="auto" w:fill="auto"/>
          <w:lang w:val="ru-RU" w:eastAsia="ru-RU" w:bidi="ru-RU"/>
        </w:rPr>
        <w:t>ВМ/1338/2</w:t>
      </w:r>
      <w:r>
        <w:rPr>
          <w:color w:val="000000"/>
          <w:spacing w:val="0"/>
          <w:w w:val="100"/>
          <w:position w:val="0"/>
          <w:sz w:val="30"/>
          <w:szCs w:val="30"/>
          <w:shd w:val="clear" w:color="auto" w:fill="auto"/>
          <w:lang w:val="ru-RU" w:eastAsia="ru-RU" w:bidi="ru-RU"/>
        </w:rPr>
        <w:t>3</w:t>
      </w:r>
    </w:p>
    <w:p>
      <w:pPr>
        <w:pStyle w:val="Style10"/>
        <w:keepNext w:val="0"/>
        <w:keepLines w:val="0"/>
        <w:widowControl w:val="0"/>
        <w:shd w:val="clear" w:color="auto" w:fill="auto"/>
        <w:bidi w:val="0"/>
        <w:spacing w:before="0" w:after="620" w:line="266" w:lineRule="auto"/>
        <w:ind w:left="0" w:right="0" w:firstLine="0"/>
        <w:jc w:val="left"/>
      </w:pPr>
      <w:r>
        <w:rPr>
          <w:color w:val="4360A3"/>
          <w:spacing w:val="0"/>
          <w:w w:val="100"/>
          <w:position w:val="0"/>
          <w:shd w:val="clear" w:color="auto" w:fill="auto"/>
          <w:lang w:val="ru-RU" w:eastAsia="ru-RU" w:bidi="ru-RU"/>
        </w:rPr>
        <w:t xml:space="preserve">На №  от</w:t>
      </w:r>
    </w:p>
    <w:p>
      <w:pPr>
        <w:pStyle w:val="Style18"/>
        <w:keepNext w:val="0"/>
        <w:keepLines w:val="0"/>
        <w:widowControl w:val="0"/>
        <w:shd w:val="clear" w:color="auto" w:fill="auto"/>
        <w:tabs>
          <w:tab w:pos="1817" w:val="left"/>
        </w:tabs>
        <w:bidi w:val="0"/>
        <w:spacing w:before="0" w:after="0" w:line="240" w:lineRule="auto"/>
        <w:ind w:left="0" w:right="0" w:firstLine="0"/>
        <w:jc w:val="center"/>
      </w:pPr>
      <w:r>
        <w:rPr>
          <w:i w:val="0"/>
          <w:iCs w:val="0"/>
          <w:color w:val="000000"/>
          <w:spacing w:val="0"/>
          <w:w w:val="100"/>
          <w:position w:val="0"/>
          <w:sz w:val="24"/>
          <w:szCs w:val="24"/>
          <w:shd w:val="clear" w:color="auto" w:fill="auto"/>
          <w:lang w:val="ru-RU" w:eastAsia="ru-RU" w:bidi="ru-RU"/>
        </w:rPr>
        <w:t>РЕШЕНИЕ по делу № 082/06/105-</w:t>
        <w:br/>
        <w:t>765/2023</w:t>
        <w:tab/>
        <w:t>о нарушении</w:t>
      </w:r>
    </w:p>
    <w:p>
      <w:pPr>
        <w:pStyle w:val="Style21"/>
        <w:keepNext/>
        <w:keepLines/>
        <w:widowControl w:val="0"/>
        <w:shd w:val="clear" w:color="auto" w:fill="auto"/>
        <w:bidi w:val="0"/>
        <w:spacing w:before="0" w:after="0" w:line="240" w:lineRule="auto"/>
        <w:ind w:left="0" w:right="0" w:firstLine="0"/>
        <w:jc w:val="center"/>
      </w:pPr>
      <w:bookmarkStart w:id="0" w:name="bookmark0"/>
      <w:r>
        <w:rPr>
          <w:color w:val="000000"/>
          <w:spacing w:val="0"/>
          <w:w w:val="100"/>
          <w:position w:val="0"/>
          <w:sz w:val="24"/>
          <w:szCs w:val="24"/>
          <w:shd w:val="clear" w:color="auto" w:fill="auto"/>
          <w:lang w:val="ru-RU" w:eastAsia="ru-RU" w:bidi="ru-RU"/>
        </w:rPr>
        <w:t>законодательства об осуществлении</w:t>
        <w:br/>
        <w:t>закупок</w:t>
      </w:r>
      <w:bookmarkEnd w:id="0"/>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u w:val="single"/>
          <w:shd w:val="clear" w:color="auto" w:fill="auto"/>
          <w:lang w:val="ru-RU" w:eastAsia="ru-RU" w:bidi="ru-RU"/>
        </w:rPr>
        <w:t>ЗАКАЗЧИК:</w:t>
      </w:r>
    </w:p>
    <w:p>
      <w:pPr>
        <w:pStyle w:val="Style13"/>
        <w:keepNext w:val="0"/>
        <w:keepLines w:val="0"/>
        <w:widowControl w:val="0"/>
        <w:pBdr>
          <w:bottom w:val="single" w:sz="4" w:space="0" w:color="auto"/>
        </w:pBdr>
        <w:shd w:val="clear" w:color="auto" w:fill="auto"/>
        <w:tabs>
          <w:tab w:leader="underscore" w:pos="3984" w:val="left"/>
        </w:tabs>
        <w:bidi w:val="0"/>
        <w:spacing w:before="0" w:after="0" w:line="240" w:lineRule="auto"/>
        <w:ind w:left="0" w:right="0" w:firstLine="0"/>
        <w:jc w:val="left"/>
      </w:pPr>
      <w:r>
        <w:rPr>
          <w:color w:val="000000"/>
          <w:spacing w:val="0"/>
          <w:w w:val="100"/>
          <w:position w:val="0"/>
          <w:shd w:val="clear" w:color="auto" w:fill="auto"/>
          <w:lang w:val="ru-RU" w:eastAsia="ru-RU" w:bidi="ru-RU"/>
        </w:rPr>
        <w:t xml:space="preserve">Департамент по имущественным и земельным отношениям города </w:t>
      </w:r>
      <w:r>
        <w:rPr>
          <w:color w:val="000000"/>
          <w:spacing w:val="0"/>
          <w:w w:val="100"/>
          <w:position w:val="0"/>
          <w:u w:val="single"/>
          <w:shd w:val="clear" w:color="auto" w:fill="auto"/>
          <w:lang w:val="ru-RU" w:eastAsia="ru-RU" w:bidi="ru-RU"/>
        </w:rPr>
        <w:t>Севастополя</w:t>
      </w:r>
      <w:r>
        <w:rPr>
          <w:color w:val="000000"/>
          <w:spacing w:val="0"/>
          <w:w w:val="100"/>
          <w:position w:val="0"/>
          <w:shd w:val="clear" w:color="auto" w:fill="auto"/>
          <w:lang w:val="ru-RU" w:eastAsia="ru-RU" w:bidi="ru-RU"/>
        </w:rPr>
        <w:tab/>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ул. Советская, д. 9, г. Севастополь, 299011</w:t>
      </w:r>
    </w:p>
    <w:p>
      <w:pPr>
        <w:pStyle w:val="Style13"/>
        <w:keepNext w:val="0"/>
        <w:keepLines w:val="0"/>
        <w:widowControl w:val="0"/>
        <w:pBdr>
          <w:bottom w:val="single" w:sz="4" w:space="0" w:color="auto"/>
        </w:pBdr>
        <w:shd w:val="clear" w:color="auto" w:fill="auto"/>
        <w:bidi w:val="0"/>
        <w:spacing w:before="0" w:after="280" w:line="240" w:lineRule="auto"/>
        <w:ind w:left="0" w:right="0" w:firstLine="0"/>
        <w:jc w:val="left"/>
      </w:pPr>
      <w:r>
        <w:fldChar w:fldCharType="begin"/>
      </w:r>
      <w:r>
        <w:rPr/>
        <w:instrText> HYPERLINK "mailto:dizo@sev.gov.ru" </w:instrText>
      </w:r>
      <w:r>
        <w:fldChar w:fldCharType="separate"/>
      </w:r>
      <w:r>
        <w:rPr>
          <w:color w:val="000080"/>
          <w:spacing w:val="0"/>
          <w:w w:val="100"/>
          <w:position w:val="0"/>
          <w:shd w:val="clear" w:color="auto" w:fill="auto"/>
          <w:lang w:val="ru-RU" w:eastAsia="ru-RU" w:bidi="ru-RU"/>
        </w:rPr>
        <w:t>Шхр@8еу</w:t>
      </w:r>
      <w:r>
        <w:rPr>
          <w:color w:val="000080"/>
          <w:spacing w:val="0"/>
          <w:w w:val="100"/>
          <w:position w:val="0"/>
          <w:shd w:val="clear" w:color="auto" w:fill="auto"/>
          <w:vertAlign w:val="subscript"/>
          <w:lang w:val="ru-RU" w:eastAsia="ru-RU" w:bidi="ru-RU"/>
        </w:rPr>
        <w:t>д</w:t>
      </w:r>
      <w:r>
        <w:rPr>
          <w:color w:val="000080"/>
          <w:spacing w:val="0"/>
          <w:w w:val="100"/>
          <w:position w:val="0"/>
          <w:shd w:val="clear" w:color="auto" w:fill="auto"/>
          <w:lang w:val="ru-RU" w:eastAsia="ru-RU" w:bidi="ru-RU"/>
        </w:rPr>
        <w:t>друли</w:t>
      </w:r>
      <w:r>
        <w:fldChar w:fldCharType="end"/>
      </w:r>
      <w:r>
        <w:rPr>
          <w:color w:val="000080"/>
          <w:spacing w:val="0"/>
          <w:w w:val="100"/>
          <w:position w:val="0"/>
          <w:shd w:val="clear" w:color="auto" w:fill="auto"/>
          <w:lang w:val="ru-RU" w:eastAsia="ru-RU" w:bidi="ru-RU"/>
        </w:rPr>
        <w:t xml:space="preserve"> </w:t>
      </w:r>
      <w:r>
        <w:fldChar w:fldCharType="begin"/>
      </w:r>
      <w:r>
        <w:rPr/>
        <w:instrText> HYPERLINK "mailto:utiood.dizo@sev.gov.ru" </w:instrText>
      </w:r>
      <w:r>
        <w:fldChar w:fldCharType="separate"/>
      </w:r>
      <w:r>
        <w:rPr>
          <w:color w:val="000080"/>
          <w:spacing w:val="0"/>
          <w:w w:val="100"/>
          <w:position w:val="0"/>
          <w:shd w:val="clear" w:color="auto" w:fill="auto"/>
          <w:lang w:val="ru-RU" w:eastAsia="ru-RU" w:bidi="ru-RU"/>
        </w:rPr>
        <w:t>и0оо4</w:t>
      </w:r>
      <w:r>
        <w:rPr>
          <w:color w:val="000080"/>
          <w:spacing w:val="0"/>
          <w:w w:val="100"/>
          <w:position w:val="0"/>
          <w:shd w:val="clear" w:color="auto" w:fill="auto"/>
          <w:vertAlign w:val="subscript"/>
          <w:lang w:val="ru-RU" w:eastAsia="ru-RU" w:bidi="ru-RU"/>
        </w:rPr>
        <w:t>д</w:t>
      </w:r>
      <w:r>
        <w:rPr>
          <w:color w:val="000080"/>
          <w:spacing w:val="0"/>
          <w:w w:val="100"/>
          <w:position w:val="0"/>
          <w:shd w:val="clear" w:color="auto" w:fill="auto"/>
          <w:lang w:val="ru-RU" w:eastAsia="ru-RU" w:bidi="ru-RU"/>
        </w:rPr>
        <w:t>Шхо@8еу.доути</w:t>
      </w:r>
      <w:r>
        <w:fldChar w:fldCharType="end"/>
      </w:r>
    </w:p>
    <w:p>
      <w:pPr>
        <w:pStyle w:val="Style13"/>
        <w:keepNext w:val="0"/>
        <w:keepLines w:val="0"/>
        <w:widowControl w:val="0"/>
        <w:pBdr>
          <w:bottom w:val="single" w:sz="4" w:space="0" w:color="auto"/>
        </w:pBdr>
        <w:shd w:val="clear" w:color="auto" w:fill="auto"/>
        <w:bidi w:val="0"/>
        <w:spacing w:before="0" w:after="0" w:line="240" w:lineRule="auto"/>
        <w:ind w:left="0" w:right="0" w:firstLine="0"/>
        <w:jc w:val="left"/>
      </w:pPr>
      <w:r>
        <w:rPr>
          <w:color w:val="000000"/>
          <w:spacing w:val="0"/>
          <w:w w:val="100"/>
          <w:position w:val="0"/>
          <w:u w:val="single"/>
          <w:shd w:val="clear" w:color="auto" w:fill="auto"/>
          <w:lang w:val="ru-RU" w:eastAsia="ru-RU" w:bidi="ru-RU"/>
        </w:rPr>
        <w:t xml:space="preserve">УПОЛНОМОЧЕННЫЙ ОРГАН: </w:t>
      </w:r>
      <w:r>
        <w:rPr>
          <w:color w:val="000000"/>
          <w:spacing w:val="0"/>
          <w:w w:val="100"/>
          <w:position w:val="0"/>
          <w:shd w:val="clear" w:color="auto" w:fill="auto"/>
          <w:lang w:val="ru-RU" w:eastAsia="ru-RU" w:bidi="ru-RU"/>
        </w:rPr>
        <w:t>Департамент управления делами губернатора и правительства Севастополя</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ул. Ленина, дом 2</w:t>
      </w:r>
    </w:p>
    <w:p>
      <w:pPr>
        <w:pStyle w:val="Style13"/>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361" w:right="1462" w:bottom="1313" w:left="1125" w:header="0" w:footer="3" w:gutter="0"/>
          <w:pgNumType w:start="1"/>
          <w:cols w:num="2" w:space="989"/>
          <w:noEndnote/>
          <w:titlePg/>
          <w:rtlGutter w:val="0"/>
          <w:docGrid w:linePitch="360"/>
        </w:sectPr>
      </w:pPr>
      <w:r>
        <w:rPr>
          <w:color w:val="000000"/>
          <w:spacing w:val="0"/>
          <w:w w:val="100"/>
          <w:position w:val="0"/>
          <w:shd w:val="clear" w:color="auto" w:fill="auto"/>
          <w:lang w:val="ru-RU" w:eastAsia="ru-RU" w:bidi="ru-RU"/>
        </w:rPr>
        <w:t xml:space="preserve">г. Севастополь, 299011 </w:t>
      </w:r>
      <w:r>
        <w:fldChar w:fldCharType="begin"/>
      </w:r>
      <w:r>
        <w:rPr/>
        <w:instrText> HYPERLINK "mailto:a.buriy@gs.sev.gov.ru" </w:instrText>
      </w:r>
      <w:r>
        <w:fldChar w:fldCharType="separate"/>
      </w:r>
      <w:r>
        <w:rPr>
          <w:color w:val="000080"/>
          <w:spacing w:val="0"/>
          <w:w w:val="100"/>
          <w:position w:val="0"/>
          <w:shd w:val="clear" w:color="auto" w:fill="auto"/>
          <w:lang w:val="ru-RU" w:eastAsia="ru-RU" w:bidi="ru-RU"/>
        </w:rPr>
        <w:t>аЪипу@д^еу</w:t>
      </w:r>
      <w:r>
        <w:rPr>
          <w:color w:val="000080"/>
          <w:spacing w:val="0"/>
          <w:w w:val="100"/>
          <w:position w:val="0"/>
          <w:shd w:val="clear" w:color="auto" w:fill="auto"/>
          <w:vertAlign w:val="subscript"/>
          <w:lang w:val="ru-RU" w:eastAsia="ru-RU" w:bidi="ru-RU"/>
        </w:rPr>
        <w:t>2</w:t>
      </w:r>
      <w:r>
        <w:rPr>
          <w:color w:val="000080"/>
          <w:spacing w:val="0"/>
          <w:w w:val="100"/>
          <w:position w:val="0"/>
          <w:shd w:val="clear" w:color="auto" w:fill="auto"/>
          <w:lang w:val="ru-RU" w:eastAsia="ru-RU" w:bidi="ru-RU"/>
        </w:rPr>
        <w:t>доуги</w:t>
      </w:r>
      <w:r>
        <w:fldChar w:fldCharType="end"/>
      </w:r>
    </w:p>
    <w:p>
      <w:pPr>
        <w:widowControl w:val="0"/>
        <w:spacing w:line="110" w:lineRule="exact"/>
        <w:rPr>
          <w:sz w:val="9"/>
          <w:szCs w:val="9"/>
        </w:rPr>
      </w:pPr>
    </w:p>
    <w:p>
      <w:pPr>
        <w:widowControl w:val="0"/>
        <w:spacing w:line="1" w:lineRule="exact"/>
        <w:sectPr>
          <w:footnotePr>
            <w:pos w:val="pageBottom"/>
            <w:numFmt w:val="decimal"/>
            <w:numRestart w:val="continuous"/>
          </w:footnotePr>
          <w:type w:val="continuous"/>
          <w:pgSz w:w="11900" w:h="16840"/>
          <w:pgMar w:top="592" w:right="0" w:bottom="1282" w:left="0" w:header="0" w:footer="3" w:gutter="0"/>
          <w:cols w:space="720"/>
          <w:noEndnote/>
          <w:rtlGutter w:val="0"/>
          <w:docGrid w:linePitch="360"/>
        </w:sectPr>
      </w:pPr>
    </w:p>
    <w:p>
      <w:pPr>
        <w:pStyle w:val="Style13"/>
        <w:keepNext w:val="0"/>
        <w:keepLines w:val="0"/>
        <w:widowControl w:val="0"/>
        <w:shd w:val="clear" w:color="auto" w:fill="auto"/>
        <w:bidi w:val="0"/>
        <w:spacing w:before="0" w:after="0" w:line="240" w:lineRule="auto"/>
        <w:ind w:left="5300" w:right="0" w:firstLine="0"/>
        <w:jc w:val="left"/>
      </w:pPr>
      <w:r>
        <w:rPr>
          <w:color w:val="000000"/>
          <w:spacing w:val="0"/>
          <w:w w:val="100"/>
          <w:position w:val="0"/>
          <w:u w:val="single"/>
          <w:shd w:val="clear" w:color="auto" w:fill="auto"/>
          <w:lang w:val="ru-RU" w:eastAsia="ru-RU" w:bidi="ru-RU"/>
        </w:rPr>
        <w:t>ЗАЯВИТЕЛЬ:</w:t>
      </w:r>
    </w:p>
    <w:p>
      <w:pPr>
        <w:pStyle w:val="Style13"/>
        <w:keepNext w:val="0"/>
        <w:keepLines w:val="0"/>
        <w:widowControl w:val="0"/>
        <w:pBdr>
          <w:bottom w:val="single" w:sz="4" w:space="0" w:color="auto"/>
        </w:pBdr>
        <w:shd w:val="clear" w:color="auto" w:fill="auto"/>
        <w:bidi w:val="0"/>
        <w:spacing w:before="0" w:after="0" w:line="240" w:lineRule="auto"/>
        <w:ind w:left="5300" w:right="0" w:firstLine="0"/>
        <w:jc w:val="left"/>
      </w:pPr>
      <w:r>
        <w:rPr>
          <w:color w:val="000000"/>
          <w:spacing w:val="0"/>
          <w:w w:val="100"/>
          <w:position w:val="0"/>
          <w:shd w:val="clear" w:color="auto" w:fill="auto"/>
          <w:lang w:val="ru-RU" w:eastAsia="ru-RU" w:bidi="ru-RU"/>
        </w:rPr>
        <w:t>Общество с ограниченной ответственностью «Проектный институт «Геоплан»</w:t>
      </w:r>
    </w:p>
    <w:p>
      <w:pPr>
        <w:pStyle w:val="Style13"/>
        <w:keepNext w:val="0"/>
        <w:keepLines w:val="0"/>
        <w:widowControl w:val="0"/>
        <w:shd w:val="clear" w:color="auto" w:fill="auto"/>
        <w:bidi w:val="0"/>
        <w:spacing w:before="0" w:after="0" w:line="240" w:lineRule="auto"/>
        <w:ind w:left="5300" w:right="0" w:firstLine="0"/>
        <w:jc w:val="left"/>
      </w:pPr>
      <w:r>
        <w:rPr>
          <w:color w:val="000000"/>
          <w:spacing w:val="0"/>
          <w:w w:val="100"/>
          <w:position w:val="0"/>
          <w:shd w:val="clear" w:color="auto" w:fill="auto"/>
          <w:lang w:val="ru-RU" w:eastAsia="ru-RU" w:bidi="ru-RU"/>
        </w:rPr>
        <w:t>ш. Евпаторийское, д. 8, офис 300, г. симферополь, Республика</w:t>
      </w:r>
    </w:p>
    <w:p>
      <w:pPr>
        <w:pStyle w:val="Style13"/>
        <w:keepNext w:val="0"/>
        <w:keepLines w:val="0"/>
        <w:widowControl w:val="0"/>
        <w:shd w:val="clear" w:color="auto" w:fill="auto"/>
        <w:bidi w:val="0"/>
        <w:spacing w:before="0" w:after="0" w:line="240" w:lineRule="auto"/>
        <w:ind w:left="5300" w:right="0" w:firstLine="0"/>
        <w:jc w:val="left"/>
      </w:pPr>
      <w:r>
        <w:rPr>
          <w:color w:val="000000"/>
          <w:spacing w:val="0"/>
          <w:w w:val="100"/>
          <w:position w:val="0"/>
          <w:shd w:val="clear" w:color="auto" w:fill="auto"/>
          <w:lang w:val="ru-RU" w:eastAsia="ru-RU" w:bidi="ru-RU"/>
        </w:rPr>
        <w:t>Крым, 295014</w:t>
      </w:r>
    </w:p>
    <w:p>
      <w:pPr>
        <w:pStyle w:val="Style13"/>
        <w:keepNext w:val="0"/>
        <w:keepLines w:val="0"/>
        <w:widowControl w:val="0"/>
        <w:shd w:val="clear" w:color="auto" w:fill="auto"/>
        <w:bidi w:val="0"/>
        <w:spacing w:before="0" w:after="280" w:line="240" w:lineRule="auto"/>
        <w:ind w:left="5300" w:right="0" w:firstLine="0"/>
        <w:jc w:val="left"/>
      </w:pPr>
      <w:r>
        <w:fldChar w:fldCharType="begin"/>
      </w:r>
      <w:r>
        <w:rPr/>
        <w:instrText> HYPERLINK "mailto:mail@mycrg.ru" </w:instrText>
      </w:r>
      <w:r>
        <w:fldChar w:fldCharType="separate"/>
      </w:r>
      <w:r>
        <w:rPr>
          <w:color w:val="000080"/>
          <w:spacing w:val="0"/>
          <w:w w:val="100"/>
          <w:position w:val="0"/>
          <w:u w:val="single"/>
          <w:shd w:val="clear" w:color="auto" w:fill="auto"/>
          <w:lang w:val="ru-RU" w:eastAsia="ru-RU" w:bidi="ru-RU"/>
        </w:rPr>
        <w:t>тай@тусгд.ш</w:t>
      </w:r>
      <w:r>
        <w:fldChar w:fldCharType="end"/>
      </w:r>
    </w:p>
    <w:p>
      <w:pPr>
        <w:pStyle w:val="Style13"/>
        <w:keepNext w:val="0"/>
        <w:keepLines w:val="0"/>
        <w:widowControl w:val="0"/>
        <w:pBdr>
          <w:bottom w:val="single" w:sz="4" w:space="0" w:color="auto"/>
        </w:pBdr>
        <w:shd w:val="clear" w:color="auto" w:fill="auto"/>
        <w:bidi w:val="0"/>
        <w:spacing w:before="0" w:after="0" w:line="264" w:lineRule="auto"/>
        <w:ind w:left="5300" w:right="0" w:firstLine="0"/>
        <w:jc w:val="left"/>
      </w:pPr>
      <w:r>
        <w:rPr>
          <w:color w:val="000000"/>
          <w:spacing w:val="0"/>
          <w:w w:val="100"/>
          <w:position w:val="0"/>
          <w:u w:val="single"/>
          <w:shd w:val="clear" w:color="auto" w:fill="auto"/>
          <w:lang w:val="ru-RU" w:eastAsia="ru-RU" w:bidi="ru-RU"/>
        </w:rPr>
        <w:t xml:space="preserve">ЭЛЕКТРОННАЯ ПЛОЩАДКА: </w:t>
      </w:r>
      <w:r>
        <w:rPr>
          <w:color w:val="000000"/>
          <w:spacing w:val="0"/>
          <w:w w:val="100"/>
          <w:position w:val="0"/>
          <w:shd w:val="clear" w:color="auto" w:fill="auto"/>
          <w:lang w:val="ru-RU" w:eastAsia="ru-RU" w:bidi="ru-RU"/>
        </w:rPr>
        <w:t>Акционерное общество «ТЭК-Торг»</w:t>
      </w:r>
    </w:p>
    <w:p>
      <w:pPr>
        <w:pStyle w:val="Style13"/>
        <w:keepNext w:val="0"/>
        <w:keepLines w:val="0"/>
        <w:widowControl w:val="0"/>
        <w:shd w:val="clear" w:color="auto" w:fill="auto"/>
        <w:bidi w:val="0"/>
        <w:spacing w:before="0" w:after="280" w:line="266" w:lineRule="auto"/>
        <w:ind w:left="5300" w:right="0" w:firstLine="0"/>
        <w:jc w:val="left"/>
      </w:pPr>
      <w:r>
        <w:rPr>
          <w:color w:val="000000"/>
          <w:spacing w:val="0"/>
          <w:w w:val="100"/>
          <w:position w:val="0"/>
          <w:shd w:val="clear" w:color="auto" w:fill="auto"/>
          <w:lang w:val="ru-RU" w:eastAsia="ru-RU" w:bidi="ru-RU"/>
        </w:rPr>
        <w:t xml:space="preserve">Гамсоновский переулок, д. 5, стр. 2, 5-ый этаж, помещение VII, г. Москва, 115191 </w:t>
      </w:r>
      <w:r>
        <w:fldChar w:fldCharType="begin"/>
      </w:r>
      <w:r>
        <w:rPr/>
        <w:instrText> HYPERLINK "mailto:help@tektorg.ru" </w:instrText>
      </w:r>
      <w:r>
        <w:fldChar w:fldCharType="separate"/>
      </w:r>
      <w:r>
        <w:rPr>
          <w:color w:val="000080"/>
          <w:spacing w:val="0"/>
          <w:w w:val="100"/>
          <w:position w:val="0"/>
          <w:u w:val="single"/>
          <w:shd w:val="clear" w:color="auto" w:fill="auto"/>
          <w:lang w:val="ru-RU" w:eastAsia="ru-RU" w:bidi="ru-RU"/>
        </w:rPr>
        <w:t>Ье1р@1ек1огд.ги</w:t>
      </w:r>
      <w:r>
        <w:fldChar w:fldCharType="end"/>
      </w:r>
    </w:p>
    <w:p>
      <w:pPr>
        <w:pStyle w:val="Style21"/>
        <w:keepNext/>
        <w:keepLines/>
        <w:widowControl w:val="0"/>
        <w:shd w:val="clear" w:color="auto" w:fill="auto"/>
        <w:bidi w:val="0"/>
        <w:spacing w:before="0" w:after="0" w:line="276" w:lineRule="auto"/>
        <w:ind w:left="0" w:right="0" w:firstLine="0"/>
        <w:jc w:val="center"/>
        <w:rPr>
          <w:sz w:val="28"/>
          <w:szCs w:val="28"/>
        </w:rPr>
      </w:pPr>
      <w:bookmarkStart w:id="2" w:name="bookmark2"/>
      <w:r>
        <w:rPr>
          <w:color w:val="000000"/>
          <w:spacing w:val="0"/>
          <w:w w:val="100"/>
          <w:position w:val="0"/>
          <w:sz w:val="28"/>
          <w:szCs w:val="28"/>
          <w:shd w:val="clear" w:color="auto" w:fill="auto"/>
          <w:lang w:val="ru-RU" w:eastAsia="ru-RU" w:bidi="ru-RU"/>
        </w:rPr>
        <w:t>РЕШЕНИЕ</w:t>
      </w:r>
      <w:bookmarkEnd w:id="2"/>
    </w:p>
    <w:p>
      <w:pPr>
        <w:pStyle w:val="Style13"/>
        <w:keepNext w:val="0"/>
        <w:keepLines w:val="0"/>
        <w:widowControl w:val="0"/>
        <w:shd w:val="clear" w:color="auto" w:fill="auto"/>
        <w:bidi w:val="0"/>
        <w:spacing w:before="0" w:after="0"/>
        <w:ind w:left="0" w:right="0" w:firstLine="0"/>
        <w:jc w:val="center"/>
      </w:pPr>
      <w:r>
        <w:rPr>
          <w:color w:val="000000"/>
          <w:spacing w:val="0"/>
          <w:w w:val="100"/>
          <w:position w:val="0"/>
          <w:shd w:val="clear" w:color="auto" w:fill="auto"/>
          <w:lang w:val="ru-RU" w:eastAsia="ru-RU" w:bidi="ru-RU"/>
        </w:rPr>
        <w:t>по делу № 082/06/105-765/2023 о нарушении</w:t>
        <w:br/>
        <w:t>законодательства об осуществлении закупок</w:t>
      </w:r>
    </w:p>
    <w:p>
      <w:pPr>
        <w:pStyle w:val="Style13"/>
        <w:keepNext w:val="0"/>
        <w:keepLines w:val="0"/>
        <w:widowControl w:val="0"/>
        <w:shd w:val="clear" w:color="auto" w:fill="auto"/>
        <w:bidi w:val="0"/>
        <w:spacing w:before="0" w:after="0"/>
        <w:ind w:left="0" w:right="0" w:firstLine="0"/>
        <w:jc w:val="right"/>
      </w:pPr>
      <w:r>
        <w:rPr>
          <w:color w:val="000000"/>
          <w:spacing w:val="0"/>
          <w:w w:val="100"/>
          <w:position w:val="0"/>
          <w:shd w:val="clear" w:color="auto" w:fill="auto"/>
          <w:lang w:val="ru-RU" w:eastAsia="ru-RU" w:bidi="ru-RU"/>
        </w:rPr>
        <w:t>г. Севастополь</w:t>
      </w:r>
    </w:p>
    <w:p>
      <w:pPr>
        <w:pStyle w:val="Style13"/>
        <w:keepNext w:val="0"/>
        <w:keepLines w:val="0"/>
        <w:widowControl w:val="0"/>
        <w:shd w:val="clear" w:color="auto" w:fill="auto"/>
        <w:bidi w:val="0"/>
        <w:spacing w:before="0" w:after="0"/>
        <w:ind w:left="0" w:right="0" w:firstLine="700"/>
        <w:jc w:val="left"/>
      </w:pPr>
      <w:r>
        <w:rPr>
          <w:color w:val="000000"/>
          <w:spacing w:val="0"/>
          <w:w w:val="100"/>
          <w:position w:val="0"/>
          <w:shd w:val="clear" w:color="auto" w:fill="auto"/>
          <w:lang w:val="ru-RU" w:eastAsia="ru-RU" w:bidi="ru-RU"/>
        </w:rPr>
        <w:t>Резолютивная часть решения объявлена 22 мая 2023 года.</w:t>
      </w:r>
    </w:p>
    <w:p>
      <w:pPr>
        <w:pStyle w:val="Style13"/>
        <w:keepNext w:val="0"/>
        <w:keepLines w:val="0"/>
        <w:widowControl w:val="0"/>
        <w:shd w:val="clear" w:color="auto" w:fill="auto"/>
        <w:bidi w:val="0"/>
        <w:spacing w:before="0" w:after="140"/>
        <w:ind w:left="0" w:right="0" w:firstLine="700"/>
        <w:jc w:val="left"/>
      </w:pPr>
      <w:r>
        <w:rPr>
          <w:color w:val="000000"/>
          <w:spacing w:val="0"/>
          <w:w w:val="100"/>
          <w:position w:val="0"/>
          <w:shd w:val="clear" w:color="auto" w:fill="auto"/>
          <w:lang w:val="ru-RU" w:eastAsia="ru-RU" w:bidi="ru-RU"/>
        </w:rPr>
        <w:t>Решение изготовлено в полном объеме 24 мая 2023 года.</w:t>
      </w:r>
    </w:p>
    <w:p>
      <w:pPr>
        <w:widowControl w:val="0"/>
        <w:spacing w:line="1" w:lineRule="exact"/>
      </w:pPr>
      <w:r>
        <w:drawing>
          <wp:anchor distT="0" distB="0" distL="0" distR="0" simplePos="0" relativeHeight="125829378" behindDoc="0" locked="0" layoutInCell="1" allowOverlap="1">
            <wp:simplePos x="0" y="0"/>
            <wp:positionH relativeFrom="page">
              <wp:posOffset>714375</wp:posOffset>
            </wp:positionH>
            <wp:positionV relativeFrom="paragraph">
              <wp:posOffset>0</wp:posOffset>
            </wp:positionV>
            <wp:extent cx="1517650" cy="292735"/>
            <wp:wrapTopAndBottom/>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1517650" cy="292735"/>
                    </a:xfrm>
                    <a:prstGeom prst="rect"/>
                  </pic:spPr>
                </pic:pic>
              </a:graphicData>
            </a:graphic>
          </wp:anchor>
        </w:drawing>
      </w:r>
    </w:p>
    <w:p>
      <w:pPr>
        <w:pStyle w:val="Style13"/>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ru-RU" w:eastAsia="ru-RU" w:bidi="ru-RU"/>
        </w:rPr>
        <w:t>Комиссия по контролю в сфере закупок города федерального значения Севастополя (далее - Комиссия) Управления Федеральной антимонопольной службы по Республике Крым и городу Севастополь (далее - Управление) в составе: Мехтиев В.В. - заместитель руководителя - начальник отдела контроля за соблюдением антимонопольного законодательства, рекламы и контроля закупок города Севастополя (далее - Отдел) Управления, председатель Комиссии; Соловьева А.А. - главный специалист-эксперт Отдела Управления, член Комиссии, Носова К.В. - специалист-эксперт Отдела Управления, член Комиссии, при очном участии представителя Департамента по имущественным и земельным отношениям города Севастополя: Голубевой О.В. (доверенность №74 от 03.05.2023г.), представителя Департамента управления делами губернатора и правительства Севастополя: Вобликовой В.В. (доверенность №3 от 09.01.2023г.), при подключении посредством интернет-видеоконференции через программу «ТгиеСоП» представителя Общества с ограниченной ответственностью «Проектный институт «Геоплан»: Корня Е.Н. (доверенность №б/н от 01.07.2022г.), рассмотрев жалобу Общества с ограниченной ответственностью «Проектный институт «Геоплан» (далее - Заявитель) на действия Департамента по имущественным и земельным отношениям города Севастополя (далее - Заказчик) при проведении открытого конкурса в электронной форме на оказание услуг по комплексным кадастровым работам, извещение №0174500001123002244 (далее - Закупка), рассмотрев представленные сторонами материалы, в соответствии со статьями 99, 106 Федерального закона от 05 апреля 2013 года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руководствуясь Приказом ФАС России от 19 ноября 2014 года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Административный регламент),</w:t>
      </w:r>
    </w:p>
    <w:p>
      <w:pPr>
        <w:pStyle w:val="Style13"/>
        <w:keepNext w:val="0"/>
        <w:keepLines w:val="0"/>
        <w:widowControl w:val="0"/>
        <w:shd w:val="clear" w:color="auto" w:fill="auto"/>
        <w:bidi w:val="0"/>
        <w:spacing w:before="0" w:after="0"/>
        <w:ind w:left="0" w:right="0" w:firstLine="0"/>
        <w:jc w:val="center"/>
      </w:pPr>
      <w:r>
        <w:rPr>
          <w:color w:val="000000"/>
          <w:spacing w:val="0"/>
          <w:w w:val="100"/>
          <w:position w:val="0"/>
          <w:shd w:val="clear" w:color="auto" w:fill="auto"/>
          <w:lang w:val="ru-RU" w:eastAsia="ru-RU" w:bidi="ru-RU"/>
        </w:rPr>
        <w:t>УСТАНОВИЛА:</w:t>
      </w:r>
    </w:p>
    <w:p>
      <w:pPr>
        <w:pStyle w:val="Style13"/>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ru-RU" w:eastAsia="ru-RU" w:bidi="ru-RU"/>
        </w:rPr>
        <w:t>Извещение о проведении Конкурса, протоколы заседаний Конкурсной комиссии размещены на официальном сайте</w:t>
      </w:r>
      <w:r>
        <w:rPr>
          <w:color w:val="000000"/>
          <w:spacing w:val="0"/>
          <w:w w:val="100"/>
          <w:position w:val="0"/>
          <w:shd w:val="clear" w:color="auto" w:fill="auto"/>
          <w:lang w:val="ru-RU" w:eastAsia="ru-RU" w:bidi="ru-RU"/>
        </w:rPr>
        <w:t xml:space="preserve"> </w:t>
      </w:r>
      <w:r>
        <w:rPr>
          <w:color w:val="000080"/>
          <w:spacing w:val="0"/>
          <w:w w:val="100"/>
          <w:position w:val="0"/>
          <w:u w:val="single"/>
          <w:shd w:val="clear" w:color="auto" w:fill="auto"/>
          <w:lang w:val="ru-RU" w:eastAsia="ru-RU" w:bidi="ru-RU"/>
        </w:rPr>
        <w:t>ЬйрУ/гакиркЁдо^ш</w:t>
      </w:r>
      <w:r>
        <w:rPr>
          <w:color w:val="00008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в информационно</w:t>
        <w:softHyphen/>
        <w:t>телекоммуникационной сети «Интернет» (далее - ЕИС).</w:t>
      </w:r>
    </w:p>
    <w:p>
      <w:pPr>
        <w:pStyle w:val="Style13"/>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ru-RU" w:eastAsia="ru-RU" w:bidi="ru-RU"/>
        </w:rPr>
        <w:t>По мнению Заявителя Заказчиком необоснованно установлено излишнее требование о наличии лицензии, чем искусственно сужается круг потенциальных участников закупки.</w:t>
      </w:r>
    </w:p>
    <w:p>
      <w:pPr>
        <w:pStyle w:val="Style18"/>
        <w:keepNext w:val="0"/>
        <w:keepLines w:val="0"/>
        <w:widowControl w:val="0"/>
        <w:shd w:val="clear" w:color="auto" w:fill="auto"/>
        <w:bidi w:val="0"/>
        <w:spacing w:before="0" w:after="0" w:line="269" w:lineRule="auto"/>
        <w:ind w:left="0" w:right="0" w:firstLine="740"/>
        <w:jc w:val="both"/>
      </w:pPr>
      <w:r>
        <w:rPr>
          <w:i w:val="0"/>
          <w:iCs w:val="0"/>
          <w:color w:val="000000"/>
          <w:spacing w:val="0"/>
          <w:w w:val="100"/>
          <w:position w:val="0"/>
          <w:sz w:val="28"/>
          <w:szCs w:val="28"/>
          <w:shd w:val="clear" w:color="auto" w:fill="auto"/>
          <w:lang w:val="ru-RU" w:eastAsia="ru-RU" w:bidi="ru-RU"/>
        </w:rPr>
        <w:t xml:space="preserve">В своей жалобе Заявитель указал следующие доводы: </w:t>
      </w:r>
      <w:r>
        <w:rPr>
          <w:color w:val="000000"/>
          <w:spacing w:val="0"/>
          <w:w w:val="100"/>
          <w:position w:val="0"/>
          <w:sz w:val="24"/>
          <w:szCs w:val="24"/>
          <w:shd w:val="clear" w:color="auto" w:fill="auto"/>
          <w:lang w:val="ru-RU" w:eastAsia="ru-RU" w:bidi="ru-RU"/>
        </w:rPr>
        <w:t>«...Уполномоченным органом в извещении об осуществлении закупки №0174500001123002244 и документации о закупке по объекту: оказание услуг по комплексным кадастровым работам, установлено, что участник закупки должен иметь действующую лицензию для выполнения работ с использованием материалов и данных со сведениями, составляющими государственную тайну (далее - лицензия ФСБ на гостайну).</w:t>
      </w:r>
    </w:p>
    <w:p>
      <w:pPr>
        <w:pStyle w:val="Style18"/>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Считаем указанное требование излишним и ограничивающим круг потенциальных участников закупки в связи с нижеизложенным.</w:t>
      </w:r>
    </w:p>
    <w:p>
      <w:pPr>
        <w:pStyle w:val="Style18"/>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В техническом задании нет информации о том, что исполнителю будут передаваться какие-либо сведения, составляющие государственную тайну. В конкурсной документации нет никакого обоснования необходимости исполнителю иметь лицензию ФСБ на гостайну.</w:t>
      </w:r>
    </w:p>
    <w:p>
      <w:pPr>
        <w:pStyle w:val="Style18"/>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Порядок, предусмотренный законодательством для выполнения комплексных кадастровых работ, в т.ч. установленные формы карты-плана территории и акта согласования местоположения границ земельных участков при выполнении комплексных кадастровых работ, требования к их подготовке, не предусматривают каких-либо особенностей в случае, если при выполнении работ исполнитель выявит сведения, составляющие государственную тайну.</w:t>
      </w:r>
    </w:p>
    <w:p>
      <w:pPr>
        <w:pStyle w:val="Style18"/>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Результаты комплексных кадастровых работ рассматриваются согласительными комиссиями и демонстрируются третьим лицам, что предполагает отсутствие в таких результатах сведений, составляющих государственную тайну.</w:t>
      </w:r>
    </w:p>
    <w:p>
      <w:pPr>
        <w:pStyle w:val="Style18"/>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Кроме того, статья 42.3. Федерального закона от 24 июля 2007 г. ^ 221-ФЗ "О кадастровой деятельности" допускает, что выполнение комплексных кадастровых работ может производить индивидуальный предприниматель. В конкурсной документации - в Требованиях к содержанию, составу заявки на участие в закупке и инструкция по ее заполнению также допускается выполнение работ индивидуальным предпринимателем.</w:t>
      </w:r>
    </w:p>
    <w:p>
      <w:pPr>
        <w:pStyle w:val="Style18"/>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Вместе с тем, согласно ст. 27 закона РФ от 21 июля 1993 г. ^ 5485-1 "О государственной тайне" к проведению работ, связанных с использованием сведений, составляющих государственную тайну, допускаются только предприятия, учреждения и организации, - т.е. юридические лица.</w:t>
      </w:r>
    </w:p>
    <w:p>
      <w:pPr>
        <w:pStyle w:val="Style18"/>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Так как заказчик работ предполагает и допускает в качестве исполнителя работ индивидуального предпринимателя, который не может иметь лицензию ФСБ на гостайну, то, следовательно, фактически работа со сведениями, составляющими государственную тайну, не предполагается.</w:t>
      </w:r>
    </w:p>
    <w:p>
      <w:pPr>
        <w:pStyle w:val="Style18"/>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При таких обстоятельствах, установление в конкурсной документации требования к участнику о наличии лицензии на проведение работ с использованием сведений, составляющих государственную тайну, является необоснованным и нарушающим требования антимонопольного законодательства путем необоснованного сужения потенциальных участников закупки, чем нарушает требования Федерального закона от 26.07.2006 № 135-ФЗ «О защите конкуренции».»</w:t>
      </w:r>
    </w:p>
    <w:p>
      <w:pPr>
        <w:pStyle w:val="Style18"/>
        <w:keepNext w:val="0"/>
        <w:keepLines w:val="0"/>
        <w:widowControl w:val="0"/>
        <w:shd w:val="clear" w:color="auto" w:fill="auto"/>
        <w:bidi w:val="0"/>
        <w:spacing w:before="0" w:after="0" w:line="271" w:lineRule="auto"/>
        <w:ind w:left="0" w:right="0" w:firstLine="740"/>
        <w:jc w:val="both"/>
      </w:pPr>
      <w:r>
        <w:rPr>
          <w:i w:val="0"/>
          <w:iCs w:val="0"/>
          <w:color w:val="000000"/>
          <w:spacing w:val="0"/>
          <w:w w:val="100"/>
          <w:position w:val="0"/>
          <w:sz w:val="28"/>
          <w:szCs w:val="28"/>
          <w:shd w:val="clear" w:color="auto" w:fill="auto"/>
          <w:lang w:val="ru-RU" w:eastAsia="ru-RU" w:bidi="ru-RU"/>
        </w:rPr>
        <w:t xml:space="preserve">Заказчик с доводами жалобы не согласен, считает жалобу не подлежащей удовлетворению. В своих возражениях указал следующее: </w:t>
      </w:r>
      <w:r>
        <w:rPr>
          <w:color w:val="000000"/>
          <w:spacing w:val="0"/>
          <w:w w:val="100"/>
          <w:position w:val="0"/>
          <w:sz w:val="24"/>
          <w:szCs w:val="24"/>
          <w:shd w:val="clear" w:color="auto" w:fill="auto"/>
          <w:lang w:val="ru-RU" w:eastAsia="ru-RU" w:bidi="ru-RU"/>
        </w:rPr>
        <w:t>«.В соответствии с п. 1 ст. 42.1 Федерального закона от 24 июля 2007 года № 221-ФЗ «О кадастровой деятельности» (далее - Федеральный закон от 24 июля 2007 года№ 221-ФЗ) под комплексными кадастровыми работами в целях настоящего Федерального закона понимаются кадастровые работы, которые выполняются одновременно в отношении всех расположенных на территории одного кадастрового квартала или территориях нескольких смежных кадастровых кварталов:</w:t>
      </w:r>
    </w:p>
    <w:p>
      <w:pPr>
        <w:pStyle w:val="Style18"/>
        <w:keepNext w:val="0"/>
        <w:keepLines w:val="0"/>
        <w:widowControl w:val="0"/>
        <w:numPr>
          <w:ilvl w:val="0"/>
          <w:numId w:val="1"/>
        </w:numPr>
        <w:shd w:val="clear" w:color="auto" w:fill="auto"/>
        <w:tabs>
          <w:tab w:pos="1049" w:val="left"/>
        </w:tabs>
        <w:bidi w:val="0"/>
        <w:spacing w:before="0" w:after="0"/>
        <w:ind w:left="0" w:right="0" w:firstLine="760"/>
        <w:jc w:val="both"/>
      </w:pPr>
      <w:r>
        <w:rPr>
          <w:color w:val="000000"/>
          <w:spacing w:val="0"/>
          <w:w w:val="100"/>
          <w:position w:val="0"/>
          <w:sz w:val="24"/>
          <w:szCs w:val="24"/>
          <w:shd w:val="clear" w:color="auto" w:fill="auto"/>
          <w:lang w:val="ru-RU" w:eastAsia="ru-RU" w:bidi="ru-RU"/>
        </w:rPr>
        <w:t>земельных участков, сведения Единого государственного реестра недвижимости о которых не соответствуют установленным на основании Федерального закона от 13 июля 2015 года № 218-ФЗ «О государственной регистрации недвижимости» требованиям к описанию местоположения границ земельных участков;</w:t>
      </w:r>
    </w:p>
    <w:p>
      <w:pPr>
        <w:pStyle w:val="Style18"/>
        <w:keepNext w:val="0"/>
        <w:keepLines w:val="0"/>
        <w:widowControl w:val="0"/>
        <w:numPr>
          <w:ilvl w:val="0"/>
          <w:numId w:val="1"/>
        </w:numPr>
        <w:shd w:val="clear" w:color="auto" w:fill="auto"/>
        <w:tabs>
          <w:tab w:pos="1042" w:val="left"/>
        </w:tabs>
        <w:bidi w:val="0"/>
        <w:spacing w:before="0" w:after="0"/>
        <w:ind w:left="0" w:right="0" w:firstLine="760"/>
        <w:jc w:val="both"/>
      </w:pPr>
      <w:r>
        <w:rPr>
          <w:color w:val="000000"/>
          <w:spacing w:val="0"/>
          <w:w w:val="100"/>
          <w:position w:val="0"/>
          <w:sz w:val="24"/>
          <w:szCs w:val="24"/>
          <w:shd w:val="clear" w:color="auto" w:fill="auto"/>
          <w:lang w:val="ru-RU" w:eastAsia="ru-RU" w:bidi="ru-RU"/>
        </w:rPr>
        <w:t>земельных участков, образование которых предусмотрено документами, указанными в части 6 настоящей статьи;</w:t>
      </w:r>
    </w:p>
    <w:p>
      <w:pPr>
        <w:pStyle w:val="Style18"/>
        <w:keepNext w:val="0"/>
        <w:keepLines w:val="0"/>
        <w:widowControl w:val="0"/>
        <w:numPr>
          <w:ilvl w:val="0"/>
          <w:numId w:val="1"/>
        </w:numPr>
        <w:shd w:val="clear" w:color="auto" w:fill="auto"/>
        <w:tabs>
          <w:tab w:pos="1064" w:val="left"/>
        </w:tabs>
        <w:bidi w:val="0"/>
        <w:spacing w:before="0" w:after="0"/>
        <w:ind w:left="0" w:right="0" w:firstLine="760"/>
        <w:jc w:val="both"/>
      </w:pPr>
      <w:r>
        <w:rPr>
          <w:color w:val="000000"/>
          <w:spacing w:val="0"/>
          <w:w w:val="100"/>
          <w:position w:val="0"/>
          <w:sz w:val="24"/>
          <w:szCs w:val="24"/>
          <w:shd w:val="clear" w:color="auto" w:fill="auto"/>
          <w:lang w:val="ru-RU" w:eastAsia="ru-RU" w:bidi="ru-RU"/>
        </w:rPr>
        <w:t>зданий, сооружений (за исключением линейных объектов), а также объектов незавершенного строительства, сведения о которых содержатся в Едином государственном реестре недвижимости.</w:t>
      </w:r>
    </w:p>
    <w:p>
      <w:pPr>
        <w:pStyle w:val="Style18"/>
        <w:keepNext w:val="0"/>
        <w:keepLines w:val="0"/>
        <w:widowControl w:val="0"/>
        <w:shd w:val="clear" w:color="auto" w:fill="auto"/>
        <w:bidi w:val="0"/>
        <w:spacing w:before="0" w:after="0"/>
        <w:ind w:left="0" w:right="0" w:firstLine="760"/>
        <w:jc w:val="both"/>
      </w:pPr>
      <w:r>
        <w:rPr>
          <w:color w:val="000000"/>
          <w:spacing w:val="0"/>
          <w:w w:val="100"/>
          <w:position w:val="0"/>
          <w:sz w:val="24"/>
          <w:szCs w:val="24"/>
          <w:shd w:val="clear" w:color="auto" w:fill="auto"/>
          <w:lang w:val="ru-RU" w:eastAsia="ru-RU" w:bidi="ru-RU"/>
        </w:rPr>
        <w:t>Согласно п. 2 ст. 42.1. Федерального закона от 24 июля 2007 года № 221-ФЗ в результате выполнения комплексных кадастровых работ:</w:t>
      </w:r>
    </w:p>
    <w:p>
      <w:pPr>
        <w:pStyle w:val="Style18"/>
        <w:keepNext w:val="0"/>
        <w:keepLines w:val="0"/>
        <w:widowControl w:val="0"/>
        <w:numPr>
          <w:ilvl w:val="0"/>
          <w:numId w:val="3"/>
        </w:numPr>
        <w:shd w:val="clear" w:color="auto" w:fill="auto"/>
        <w:tabs>
          <w:tab w:pos="1075" w:val="left"/>
        </w:tabs>
        <w:bidi w:val="0"/>
        <w:spacing w:before="0" w:after="0"/>
        <w:ind w:left="0" w:right="0" w:firstLine="760"/>
        <w:jc w:val="both"/>
      </w:pPr>
      <w:r>
        <w:rPr>
          <w:color w:val="000000"/>
          <w:spacing w:val="0"/>
          <w:w w:val="100"/>
          <w:position w:val="0"/>
          <w:sz w:val="24"/>
          <w:szCs w:val="24"/>
          <w:shd w:val="clear" w:color="auto" w:fill="auto"/>
          <w:lang w:val="ru-RU" w:eastAsia="ru-RU" w:bidi="ru-RU"/>
        </w:rPr>
        <w:t>осуществляется уточнение местоположения границ земельных участков;</w:t>
      </w:r>
    </w:p>
    <w:p>
      <w:pPr>
        <w:pStyle w:val="Style18"/>
        <w:keepNext w:val="0"/>
        <w:keepLines w:val="0"/>
        <w:widowControl w:val="0"/>
        <w:numPr>
          <w:ilvl w:val="0"/>
          <w:numId w:val="3"/>
        </w:numPr>
        <w:shd w:val="clear" w:color="auto" w:fill="auto"/>
        <w:tabs>
          <w:tab w:pos="1045" w:val="left"/>
        </w:tabs>
        <w:bidi w:val="0"/>
        <w:spacing w:before="0" w:after="0"/>
        <w:ind w:left="0" w:right="0" w:firstLine="760"/>
        <w:jc w:val="both"/>
      </w:pPr>
      <w:r>
        <w:rPr>
          <w:color w:val="000000"/>
          <w:spacing w:val="0"/>
          <w:w w:val="100"/>
          <w:position w:val="0"/>
          <w:sz w:val="24"/>
          <w:szCs w:val="24"/>
          <w:shd w:val="clear" w:color="auto" w:fill="auto"/>
          <w:lang w:val="ru-RU" w:eastAsia="ru-RU" w:bidi="ru-RU"/>
        </w:rPr>
        <w:t>осуществляется установление или уточнение местоположения на земельных участках зданий, сооружений, объектов незавершенного строительства, указанных в части 1 настоящей статьи;</w:t>
      </w:r>
    </w:p>
    <w:p>
      <w:pPr>
        <w:pStyle w:val="Style18"/>
        <w:keepNext w:val="0"/>
        <w:keepLines w:val="0"/>
        <w:widowControl w:val="0"/>
        <w:numPr>
          <w:ilvl w:val="0"/>
          <w:numId w:val="3"/>
        </w:numPr>
        <w:shd w:val="clear" w:color="auto" w:fill="auto"/>
        <w:tabs>
          <w:tab w:pos="1049" w:val="left"/>
        </w:tabs>
        <w:bidi w:val="0"/>
        <w:spacing w:before="0" w:after="0"/>
        <w:ind w:left="0" w:right="0" w:firstLine="760"/>
        <w:jc w:val="both"/>
      </w:pPr>
      <w:r>
        <w:rPr>
          <w:color w:val="000000"/>
          <w:spacing w:val="0"/>
          <w:w w:val="100"/>
          <w:position w:val="0"/>
          <w:sz w:val="24"/>
          <w:szCs w:val="24"/>
          <w:shd w:val="clear" w:color="auto" w:fill="auto"/>
          <w:lang w:val="ru-RU" w:eastAsia="ru-RU" w:bidi="ru-RU"/>
        </w:rPr>
        <w:t>обеспечивается образование земельных участков, на которых расположены здания, в том числе многоквартирные дома, сооружения, за исключением сооружений, являющихся линейными объектами;</w:t>
      </w:r>
    </w:p>
    <w:p>
      <w:pPr>
        <w:pStyle w:val="Style18"/>
        <w:keepNext w:val="0"/>
        <w:keepLines w:val="0"/>
        <w:widowControl w:val="0"/>
        <w:numPr>
          <w:ilvl w:val="0"/>
          <w:numId w:val="3"/>
        </w:numPr>
        <w:shd w:val="clear" w:color="auto" w:fill="auto"/>
        <w:tabs>
          <w:tab w:pos="1042" w:val="left"/>
        </w:tabs>
        <w:bidi w:val="0"/>
        <w:spacing w:before="0" w:after="0"/>
        <w:ind w:left="0" w:right="0" w:firstLine="760"/>
        <w:jc w:val="both"/>
      </w:pPr>
      <w:r>
        <w:rPr>
          <w:color w:val="000000"/>
          <w:spacing w:val="0"/>
          <w:w w:val="100"/>
          <w:position w:val="0"/>
          <w:sz w:val="24"/>
          <w:szCs w:val="24"/>
          <w:shd w:val="clear" w:color="auto" w:fill="auto"/>
          <w:lang w:val="ru-RU" w:eastAsia="ru-RU" w:bidi="ru-RU"/>
        </w:rPr>
        <w:t>обеспечивается образование земельных участков общего пользования, занятых площадями, улицами, проездами, набережными, скверами, бульварами, водными объектами, пляжами и другими объектами;</w:t>
      </w:r>
    </w:p>
    <w:p>
      <w:pPr>
        <w:pStyle w:val="Style18"/>
        <w:keepNext w:val="0"/>
        <w:keepLines w:val="0"/>
        <w:widowControl w:val="0"/>
        <w:numPr>
          <w:ilvl w:val="0"/>
          <w:numId w:val="3"/>
        </w:numPr>
        <w:shd w:val="clear" w:color="auto" w:fill="auto"/>
        <w:tabs>
          <w:tab w:pos="1042" w:val="left"/>
        </w:tabs>
        <w:bidi w:val="0"/>
        <w:spacing w:before="0" w:after="0"/>
        <w:ind w:left="0" w:right="0" w:firstLine="760"/>
        <w:jc w:val="both"/>
      </w:pPr>
      <w:r>
        <w:rPr>
          <w:color w:val="000000"/>
          <w:spacing w:val="0"/>
          <w:w w:val="100"/>
          <w:position w:val="0"/>
          <w:sz w:val="24"/>
          <w:szCs w:val="24"/>
          <w:shd w:val="clear" w:color="auto" w:fill="auto"/>
          <w:lang w:val="ru-RU" w:eastAsia="ru-RU" w:bidi="ru-RU"/>
        </w:rPr>
        <w:t>обеспечивается исправление реестровых ошибок в сведениях о местоположении границ объектов недвижимости.</w:t>
      </w:r>
    </w:p>
    <w:p>
      <w:pPr>
        <w:pStyle w:val="Style18"/>
        <w:keepNext w:val="0"/>
        <w:keepLines w:val="0"/>
        <w:widowControl w:val="0"/>
        <w:shd w:val="clear" w:color="auto" w:fill="auto"/>
        <w:bidi w:val="0"/>
        <w:spacing w:before="0" w:after="0"/>
        <w:ind w:left="0" w:right="0" w:firstLine="760"/>
        <w:jc w:val="both"/>
      </w:pPr>
      <w:r>
        <w:rPr>
          <w:color w:val="000000"/>
          <w:spacing w:val="0"/>
          <w:w w:val="100"/>
          <w:position w:val="0"/>
          <w:sz w:val="24"/>
          <w:szCs w:val="24"/>
          <w:shd w:val="clear" w:color="auto" w:fill="auto"/>
          <w:lang w:val="ru-RU" w:eastAsia="ru-RU" w:bidi="ru-RU"/>
        </w:rPr>
        <w:t>В соответствии с пунктом 6.2. Технического задания, являющегося неотъемлемой частью проекта государственного контракта, Исполнитель обязан обследовать пункты исходной геодезической основы (в случае выполнения работ геодезическим методом, методом спутниковых геодезических измерений (определений); выполнить геодезические работы по определению координат характерных точек границ объектов недвижимости по фактическому месторасположению границ земельного участка или контура здания, сооружения, объекта незавершенного строительства, расположенных в кадастровых кварталах, в отношении которых проводятся комплексные кадастровые работы, при отсутствии ограничений - методом спутниковых геодезических измерений (определений).</w:t>
      </w:r>
    </w:p>
    <w:p>
      <w:pPr>
        <w:pStyle w:val="Style18"/>
        <w:keepNext w:val="0"/>
        <w:keepLines w:val="0"/>
        <w:widowControl w:val="0"/>
        <w:shd w:val="clear" w:color="auto" w:fill="auto"/>
        <w:bidi w:val="0"/>
        <w:spacing w:before="0" w:after="0"/>
        <w:ind w:left="0" w:right="0" w:firstLine="760"/>
        <w:jc w:val="both"/>
      </w:pPr>
      <w:r>
        <w:rPr>
          <w:color w:val="000000"/>
          <w:spacing w:val="0"/>
          <w:w w:val="100"/>
          <w:position w:val="0"/>
          <w:sz w:val="24"/>
          <w:szCs w:val="24"/>
          <w:shd w:val="clear" w:color="auto" w:fill="auto"/>
          <w:lang w:val="ru-RU" w:eastAsia="ru-RU" w:bidi="ru-RU"/>
        </w:rPr>
        <w:t>Таким образом, Исполнителем должны быть проведены геодезические работы по определению характерных точек границ земельных участков и объектов капитального строительства на местности методом наземной инструментальной съемки и с помощью аэрофотосъемки, предполагающей создание фотоплана местности (ортофотопланов в местной системе координат, с обеспечением точности определения координат характерных точек, а также в целях постановки объектов недвижимости на государственный кадастровый учет).</w:t>
      </w:r>
    </w:p>
    <w:p>
      <w:pPr>
        <w:pStyle w:val="Style18"/>
        <w:keepNext w:val="0"/>
        <w:keepLines w:val="0"/>
        <w:widowControl w:val="0"/>
        <w:shd w:val="clear" w:color="auto" w:fill="auto"/>
        <w:bidi w:val="0"/>
        <w:spacing w:before="0" w:after="0"/>
        <w:ind w:left="0" w:right="0" w:firstLine="760"/>
        <w:jc w:val="both"/>
      </w:pPr>
      <w:r>
        <w:rPr>
          <w:color w:val="000000"/>
          <w:spacing w:val="0"/>
          <w:w w:val="100"/>
          <w:position w:val="0"/>
          <w:sz w:val="24"/>
          <w:szCs w:val="24"/>
          <w:shd w:val="clear" w:color="auto" w:fill="auto"/>
          <w:lang w:val="ru-RU" w:eastAsia="ru-RU" w:bidi="ru-RU"/>
        </w:rPr>
        <w:t>Согласно ГОСТ 68-14-99 «Виды и процессы геодезической и картографической производственной деятельности», аэрофотосъемка с геодезической привязкой фотопланов местности является разновидностью топографо-геодезических работ.</w:t>
      </w:r>
    </w:p>
    <w:p>
      <w:pPr>
        <w:pStyle w:val="Style18"/>
        <w:keepNext w:val="0"/>
        <w:keepLines w:val="0"/>
        <w:widowControl w:val="0"/>
        <w:shd w:val="clear" w:color="auto" w:fill="auto"/>
        <w:bidi w:val="0"/>
        <w:spacing w:before="0" w:after="0"/>
        <w:ind w:left="0" w:right="0" w:firstLine="760"/>
        <w:jc w:val="both"/>
      </w:pPr>
      <w:r>
        <w:rPr>
          <w:color w:val="000000"/>
          <w:spacing w:val="0"/>
          <w:w w:val="100"/>
          <w:position w:val="0"/>
          <w:sz w:val="24"/>
          <w:szCs w:val="24"/>
          <w:shd w:val="clear" w:color="auto" w:fill="auto"/>
          <w:lang w:val="ru-RU" w:eastAsia="ru-RU" w:bidi="ru-RU"/>
        </w:rPr>
        <w:t xml:space="preserve">Требование к подготовке ортофотоплана обусловлено тем, что при подготовке карты- плана территории при проведении комплексных кадастровых работ все данные должны быть занесены на ортофотоплан, что позволит правообладателям земельных участков при размещении карты-плана в открытом доступе для получения к нему замечаний и предложений, </w:t>
      </w:r>
      <w:r>
        <w:rPr>
          <w:color w:val="000000"/>
          <w:spacing w:val="0"/>
          <w:w w:val="100"/>
          <w:position w:val="0"/>
          <w:sz w:val="24"/>
          <w:szCs w:val="24"/>
          <w:shd w:val="clear" w:color="auto" w:fill="auto"/>
          <w:lang w:val="ru-RU" w:eastAsia="ru-RU" w:bidi="ru-RU"/>
        </w:rPr>
        <w:t>конкретнее и точнее видеть расположение своего земельного участка именно на местности с высокой точностью.</w:t>
      </w:r>
    </w:p>
    <w:p>
      <w:pPr>
        <w:pStyle w:val="Style18"/>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Получение Заказчиком результатов аэрофотосъемки необходимо также в целях наглядного и достоверного ознакомления членов согласительной комиссии с текущей ситуацией на местности в части рассмотрения на заседаниях согласительной комиссии отдельных возражений правообладателей в отношении выполненных исполнителем работ для минимизации рисков возникновения споров, которые могут быть после утверждения карт-планов территории и внесения сведений в Единый государственный реестр недвижимости.</w:t>
      </w:r>
    </w:p>
    <w:p>
      <w:pPr>
        <w:pStyle w:val="Style18"/>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Работа согласительной комиссии является частью выполнения комплексных кадастровых работ, что находит свое отражение в п. 6 ч. 2 ст. 42.6 Федерального закона от 24 июля 2007 года № 221-ФЗ.</w:t>
      </w:r>
    </w:p>
    <w:p>
      <w:pPr>
        <w:pStyle w:val="Style18"/>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Кроме того, п. 4.1. ст. 42.1. Федерального закона от 24 июля 2007 года № 221-ФЗ установлено, что в случае выявления расположенных в границах территории выполнения комплексных кадастровых работ земельных участков, сведения о которых отсутствуют в Едином государственном реестре недвижимости и в отношении которых у использующих их лиц отсутствуют документы, устанавливающие или подтверждающие право пользования земельным участком, в том числе на условиях сервитута, либо иные документы, допускающие в соответствии с земельным законодательством использование земельных участков без предоставления или установления сервитута, а также зданий, сооружений, объектов незавершенного строительства, сведения о которых отсутствуют в Едином государственном реестре недвижимости и в отношении которых у использующих их лиц отсутствуют правоустанавливающие или правоудостоверяющие документы, исполнитель комплексных кадастровых работ направляет сведения о выявленных объектах (включая сведения о местоположении границ и площади земельного участка, местоположении зданий, сооружений, объектов незавершенного строительства на земельном участке) заказчику комплексных кадастровых работ и в территориальный орган федерального органа исполнительной власти, уполномоченного на осуществление государственного земельного надзора.</w:t>
      </w:r>
    </w:p>
    <w:p>
      <w:pPr>
        <w:pStyle w:val="Style18"/>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Исходя из указанной нормы, Исполнитель при выполнении комплексных кадастровых работ обеспечивает выявление объектов, сведения о которых отсутствуют в Едином государственном реестре недвижимости и в отношении которых у использующих их лиц отсутствуют правоустанавливающие или правоудостоверяющие документы.</w:t>
      </w:r>
    </w:p>
    <w:p>
      <w:pPr>
        <w:pStyle w:val="Style18"/>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Форма сведений о выявленных объектах, направляемых Заказчику комплексных кадастровых работ и в территориальный орган федерального органа исполнительной власти, уполномоченного на осуществление государственного земельного надзора, установлена приказом Минэкономразвития России от 6 ноября 2019 года № 728.</w:t>
      </w:r>
    </w:p>
    <w:p>
      <w:pPr>
        <w:pStyle w:val="Style18"/>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При предоставлении указанных сведений должны быть приложены схема границ земельного участка и схема границ здания, сооружения, объекта незавершенного строительства на земельном участке, которые оформляются с применением картографической основы Единого государственного реестра недвижимости или иного картографического материала, соответствующего требованиям, предъявляемым к картографической основе Единого государственного реестра недвижимости, сведений, содержащихся в использованном при выполнении комплексных кадастровых работ кадастровом плане территории.</w:t>
      </w:r>
    </w:p>
    <w:p>
      <w:pPr>
        <w:pStyle w:val="Style18"/>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Оперативным способом получения актуальной и достоверной графической информации о местоположении границ земельных участков является аэрофотосъемка территории.</w:t>
      </w:r>
    </w:p>
    <w:p>
      <w:pPr>
        <w:pStyle w:val="Style18"/>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При выполнении комплексных кадастровых работ на основе ортофотопланов, благодаря полноте и актуальности графической информации, значительно сокращаются сроки выполнения работ.</w:t>
      </w:r>
    </w:p>
    <w:p>
      <w:pPr>
        <w:pStyle w:val="Style18"/>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Кроме того, благодаря визуализации действительного местоположения границ земельных участков исключается возможность возникновения кадастровых ошибок, а также становится возможным быстрое разрешение земельных споров.</w:t>
      </w:r>
    </w:p>
    <w:p>
      <w:pPr>
        <w:pStyle w:val="Style18"/>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Цифровая аэрофотосъемка выполняется с применением цифрового топографического аэрофотоаппарата, обладающего высокими метрическими свойствами и постоянными параметрами элементов внутреннего ориентирования, значения которых получены в результате фотограмметрической калибровки камеры и отражены в паспорте аэрофотокамеры или сертификате калибровки. На основе материалов цифровой аэрофотосъемки в соответствии с техническим заданием будут созданы ортофотопланы с точностью, необходимой для постановки объектов недвижимости на государственный кадастровый учет, в масштабе 1:500.</w:t>
      </w:r>
    </w:p>
    <w:p>
      <w:pPr>
        <w:pStyle w:val="Style18"/>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В соответствии с частью 1 статьи 27 Федерального закона от 21.07.1993 № 5485-1 ”О государственной тайне" (далее - Закон о государственной тайне) допуск предприятий, учреждений и организаций к проведению работ, связанных с использованием сведений, составляющих государственную тайну, созданием средств защиты информации, а также с осуществлением мероприятий и (или) оказанием услуг по защите государственной тайны, осуществляется путем получения ими в порядке, устанавливаемом Правительством Российской Федерации, лицензий на проведение работ со сведениями соответствующей степени секретности.</w:t>
      </w:r>
    </w:p>
    <w:p>
      <w:pPr>
        <w:pStyle w:val="Style18"/>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Согласно ч. 4 ст. 4 Закона о государственной тайне органы государственной власти должны обеспечить, в том числе, защиту переданных им другими органами государственной власти, предприятиями, учреждениями и организациями сведений, составляющих государственную тайну, а также сведений, засекречиваемых ими; защиту государственной тайны на подведомственных им предприятиях, в учреждениях и организациях в соответствии с требованиями актов законодательства Российской Федерации; в пределах своей компетенции проведение проверочных мероприятий в отношении граждан, допускаемых к государственной тайне.</w:t>
      </w:r>
    </w:p>
    <w:p>
      <w:pPr>
        <w:pStyle w:val="Style18"/>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В соответствии с п. 1 ст. 5 Закона о государственной тайне составляют в том числе сведения в военной области о дислокации, назначении, степени готовности, защищенности режимных и особо важных объектов.</w:t>
      </w:r>
    </w:p>
    <w:p>
      <w:pPr>
        <w:pStyle w:val="Style18"/>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В силу постановления Правительства Российской Федерации от 9 февраля 2017 года № 159 геодезические и картографические работы в районах ограничения требует обязательного разрешения Министерства обороны. Перечень таких районов корректируется и ежегодно утверждается Правительством Российской Федерации. Учитывая, что данный Перечень засекречен и отсутствует в общем доступе, оператор беспилотника не может знать заранее, нарушит ли он ограничения и получит ли в результате аэрофотосъемки квадрокоптером фотографии, содержащие секретные сведения. Таким образом, для проведения аэрофотосъемки с дрона предварительно нужно получить лицензию ФСБ на гостайну.</w:t>
      </w:r>
    </w:p>
    <w:p>
      <w:pPr>
        <w:pStyle w:val="Style18"/>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 xml:space="preserve">Согласно письму ФГКУ «Крымское ТУПО» Минобороны России от 25.01.2023 № 141/8/6/249 в границах кадастровых кварталов объекта закупки расположены земельные участки военных городков, используемых в интересах Вооруженных сил Российской Федерации. В этой связи, для согласования выполнения аэрофотосьемки местности необходимо обратиться в Службу защиты государственной тайны Черноморского флота (г. Севастополь, ул. Воронина, 2) </w:t>
      </w:r>
      <w:r>
        <w:rPr>
          <w:color w:val="000000"/>
          <w:spacing w:val="0"/>
          <w:w w:val="100"/>
          <w:position w:val="0"/>
          <w:sz w:val="24"/>
          <w:szCs w:val="24"/>
          <w:shd w:val="clear" w:color="auto" w:fill="auto"/>
          <w:lang w:val="ru-RU" w:eastAsia="ru-RU" w:bidi="ru-RU"/>
        </w:rPr>
        <w:t>и управление федеральной службы безопасности по Черноморскому флоту (г. Севастополь, ул. Суворова, 18).</w:t>
      </w:r>
    </w:p>
    <w:p>
      <w:pPr>
        <w:pStyle w:val="Style18"/>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По окончании работ Исполнитель представляет полученные материалы аэрофотосъемки на контрольный просмотр в уполномоченный орган и получает соответствующие разрешения на дальнейшее их использование Заказчиком. По результатам просмотра в случае, если уполномоченный орган решит, что полученные снимки содержат засекреченную информацию, носитель фото (флешка, диск и т.д.) становится носителем гостайны, публикация полученных фотографий запрещена. Если же проверяющий установит, что секретных сведений в материалах нет, то они рассекречиваются и могут использоваться на усмотрение владельца.</w:t>
      </w:r>
    </w:p>
    <w:p>
      <w:pPr>
        <w:pStyle w:val="Style18"/>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Согласно Положению о лицензировании деятельности предприятий, учреждений и организаций по проведению работ, связанных с использованием сведений, составляющих государственную тайну, созданием средств защиты информации, а также с осуществлением мероприятий и (или) оказанием услуг по защите государственной тайны, утвержденному постановлением Правительства Российской Федерации от 15 апреля 1995 г. № 333, лицензированию подлежит деятельность предприятий, учреждений и организаций, независимо от их организационно-правовых форм по проведению работ, связанных с использованием сведений, составляющих государственную тайну, созданием средств защиты информации, а также с осуществлением мероприятий и (или) оказанием услуг по защите государственной тайны.</w:t>
      </w:r>
    </w:p>
    <w:p>
      <w:pPr>
        <w:pStyle w:val="Style18"/>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Итак, исходя из требований законодательства, проведение аэрофотосъёмочных работ, любая фотосъемка с помощью летательного аппарата является источником геопространственных данных, которые в соответствии с Указом Президента Российской Федерации № 1203 от 30 ноября 1995 года (с изменениями и дополнениями) являются секретными сведениями. Поэтому для проведения аэрофотосъемки требуется лицензия на осуществление работ с использованием сведений, составляющих гостайну...».</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Комиссия Управления, рассмотрев все имеющиеся в деле материалы и документы, доводы жалобы, изучив возражения Заказчика, установила следующее:</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пункту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требования, предъявляемые к участникам закупки в соответствии с пунктом 1 части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требования).</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частью 1 статьи 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Федерального закона, заказчик устанавливает единые требования к участникам закупки.</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Согласно части 6 статьи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10.05.2023 в Единой государственной системе закупок было размещено извещение о проведении открытого конкурса в электронной форме на оказание услуг по комплексным кадастровым работам.</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Начальная максимальна цена контракта установлена в размере 20 795 866,72 рублей.</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В соответствии с извещением по указанной закупке, Заказчик установил следующие требования:</w:t>
      </w:r>
    </w:p>
    <w:p>
      <w:pPr>
        <w:pStyle w:val="Style18"/>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«...Документы, подтверждающие соответствие участника закупки требованиям, установленным пунктом 1 части 1 статьи 31 Федерального закона № 44-ФЗ:</w:t>
      </w:r>
    </w:p>
    <w:p>
      <w:pPr>
        <w:pStyle w:val="Style18"/>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1. Для юридических лиц: Наличие в штате или на договорной основе не менее двух кадастровых инженеров, деятельность которых не остановлена, что подтверждается следующими документами: - копии заключенных трудовых договоров с юридическим лицом в качестве работника такого юридического лица; - распечатка сведений о кадастровом инженере из государственного реестра кадастровых инженеров, сформированная Федеральной службой государственной регистрации, кадастра и картографии, полученная в электронном виде; выписки из реестра членов саморегулируемой организации кадастровых инженеров; копии действующих договоров обязательного страхования ответственности кадастрового инженера на сумму не менее 2,5 млн. рублей. Для индивидуальных предпринимателей (физических лиц): подтверждение, что является действующим кадастровым инженером: распечатка сведений о кадастровом инженере из государственного реестра кадастровых инженеров, сформированная Федеральной службой государственной регистрации, кадастра и картографии, полученная в электронном виде; выписка из реестра членов саморегулируемой организации кадастровых инженеров; копия действующего договора обязательного страхования ответственности кадастрового инженера на сумму не менее 2,5 млн. рублей. (в соответствии с Федеральным законом от 24.07.2007 года № 221-ФЗ «О государственном кадастре недвижимости»).</w:t>
      </w:r>
    </w:p>
    <w:p>
      <w:pPr>
        <w:pStyle w:val="Style18"/>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2. Наличие действующей лицензии для выполнения работ с использованием материалов и данных со сведениями, составляющими государственную тайну на основании Федерального Закона от 04.05.2011 № 99-ФЗ «О лицензировании отдельных видов деятельности» (п.п.3),п.2, ст.1), в соответствии с постановлением Правительства Российской Федерации от 15.04.1995 № 333 «О лицензировании деятельности предприятий, учреждений и организаций по проведению работ, связанных с использованием сведений, составляющих государственную тайну, созданием средств защиты информации, а также с осуществлением мероприятий и (или) оказанием услуг по защите государственной тайны», (п.п.5, пункта 1), ст.5. Закона «О государственной тайне» от 21.07.1993 №5485-1, п.9 и 22 Указа Президенте РФ от 30.11.1995 №1203 «Об утверждении Перечня сведений, отнесенных к государственной тайне».».</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По доводу жалобы заявитель считает, что установленное Заказчиком в извещении требование о предоставлении в составе заявки на участие в открытом конкурсе в электронном виде о наличии действующей лицензии ФСБ на государственную тайну излишним и ограничивающим круг потенциальных участников закупки.</w:t>
      </w:r>
    </w:p>
    <w:p>
      <w:pPr>
        <w:pStyle w:val="Style13"/>
        <w:keepNext w:val="0"/>
        <w:keepLines w:val="0"/>
        <w:widowControl w:val="0"/>
        <w:shd w:val="clear" w:color="auto" w:fill="auto"/>
        <w:bidi w:val="0"/>
        <w:spacing w:before="0" w:after="0" w:line="240" w:lineRule="auto"/>
        <w:ind w:left="0" w:right="0"/>
        <w:jc w:val="both"/>
      </w:pPr>
      <w:r>
        <w:rPr>
          <w:color w:val="000000"/>
          <w:spacing w:val="0"/>
          <w:w w:val="100"/>
          <w:position w:val="0"/>
          <w:shd w:val="clear" w:color="auto" w:fill="auto"/>
          <w:lang w:val="ru-RU" w:eastAsia="ru-RU" w:bidi="ru-RU"/>
        </w:rPr>
        <w:t>Согласно Техническому заданию, целью работ является:</w:t>
      </w:r>
    </w:p>
    <w:p>
      <w:pPr>
        <w:pStyle w:val="Style13"/>
        <w:keepNext w:val="0"/>
        <w:keepLines w:val="0"/>
        <w:widowControl w:val="0"/>
        <w:numPr>
          <w:ilvl w:val="0"/>
          <w:numId w:val="5"/>
        </w:numPr>
        <w:shd w:val="clear" w:color="auto" w:fill="auto"/>
        <w:tabs>
          <w:tab w:pos="918" w:val="left"/>
        </w:tabs>
        <w:bidi w:val="0"/>
        <w:spacing w:before="0" w:after="0" w:line="240" w:lineRule="auto"/>
        <w:ind w:left="0" w:right="0"/>
        <w:jc w:val="both"/>
      </w:pPr>
      <w:r>
        <w:rPr>
          <w:color w:val="000000"/>
          <w:spacing w:val="0"/>
          <w:w w:val="100"/>
          <w:position w:val="0"/>
          <w:shd w:val="clear" w:color="auto" w:fill="auto"/>
          <w:lang w:val="ru-RU" w:eastAsia="ru-RU" w:bidi="ru-RU"/>
        </w:rPr>
        <w:t>уточнение местоположения границ земельных участков, расположенных на территории кадастровых кварталов, на территории которых проводятся комплексные кадастровые работы;</w:t>
      </w:r>
    </w:p>
    <w:p>
      <w:pPr>
        <w:pStyle w:val="Style13"/>
        <w:keepNext w:val="0"/>
        <w:keepLines w:val="0"/>
        <w:widowControl w:val="0"/>
        <w:numPr>
          <w:ilvl w:val="0"/>
          <w:numId w:val="5"/>
        </w:numPr>
        <w:shd w:val="clear" w:color="auto" w:fill="auto"/>
        <w:tabs>
          <w:tab w:pos="913" w:val="left"/>
        </w:tabs>
        <w:bidi w:val="0"/>
        <w:spacing w:before="0" w:after="0" w:line="240" w:lineRule="auto"/>
        <w:ind w:left="0" w:right="0"/>
        <w:jc w:val="both"/>
      </w:pPr>
      <w:r>
        <w:rPr>
          <w:color w:val="000000"/>
          <w:spacing w:val="0"/>
          <w:w w:val="100"/>
          <w:position w:val="0"/>
          <w:shd w:val="clear" w:color="auto" w:fill="auto"/>
          <w:lang w:val="ru-RU" w:eastAsia="ru-RU" w:bidi="ru-RU"/>
        </w:rPr>
        <w:t>установление или уточнение местоположения на земельных участках зданий, сооружений, объектов незавершенного строительства, указанных в части 1 статьи 42.1 Федерального закона № 221-ФЗ;</w:t>
      </w:r>
    </w:p>
    <w:p>
      <w:pPr>
        <w:pStyle w:val="Style13"/>
        <w:keepNext w:val="0"/>
        <w:keepLines w:val="0"/>
        <w:widowControl w:val="0"/>
        <w:numPr>
          <w:ilvl w:val="0"/>
          <w:numId w:val="5"/>
        </w:numPr>
        <w:shd w:val="clear" w:color="auto" w:fill="auto"/>
        <w:tabs>
          <w:tab w:pos="918" w:val="left"/>
        </w:tabs>
        <w:bidi w:val="0"/>
        <w:spacing w:before="0" w:after="0" w:line="240" w:lineRule="auto"/>
        <w:ind w:left="0" w:right="0"/>
        <w:jc w:val="both"/>
      </w:pPr>
      <w:r>
        <w:rPr>
          <w:color w:val="000000"/>
          <w:spacing w:val="0"/>
          <w:w w:val="100"/>
          <w:position w:val="0"/>
          <w:shd w:val="clear" w:color="auto" w:fill="auto"/>
          <w:lang w:val="ru-RU" w:eastAsia="ru-RU" w:bidi="ru-RU"/>
        </w:rPr>
        <w:t>обеспечение образования земельных участков, на которых расположены здания, в том числе многоквартирные дома, сооружения, за исключением сооружений, являющихся линейными объектами, при наличии проекта межевания территории;</w:t>
      </w:r>
    </w:p>
    <w:p>
      <w:pPr>
        <w:pStyle w:val="Style13"/>
        <w:keepNext w:val="0"/>
        <w:keepLines w:val="0"/>
        <w:widowControl w:val="0"/>
        <w:numPr>
          <w:ilvl w:val="0"/>
          <w:numId w:val="5"/>
        </w:numPr>
        <w:shd w:val="clear" w:color="auto" w:fill="auto"/>
        <w:tabs>
          <w:tab w:pos="918" w:val="left"/>
        </w:tabs>
        <w:bidi w:val="0"/>
        <w:spacing w:before="0" w:after="0" w:line="240" w:lineRule="auto"/>
        <w:ind w:left="0" w:right="0"/>
        <w:jc w:val="both"/>
      </w:pPr>
      <w:r>
        <w:rPr>
          <w:color w:val="000000"/>
          <w:spacing w:val="0"/>
          <w:w w:val="100"/>
          <w:position w:val="0"/>
          <w:shd w:val="clear" w:color="auto" w:fill="auto"/>
          <w:lang w:val="ru-RU" w:eastAsia="ru-RU" w:bidi="ru-RU"/>
        </w:rPr>
        <w:t>обеспечение образования земельных участков общего пользования, занятых площадями, улицами, проездами, набережными, скверами, бульварами, водными объектами, пляжами и другими объектами, при наличии проекта межевания территории;</w:t>
      </w:r>
    </w:p>
    <w:p>
      <w:pPr>
        <w:pStyle w:val="Style13"/>
        <w:keepNext w:val="0"/>
        <w:keepLines w:val="0"/>
        <w:widowControl w:val="0"/>
        <w:numPr>
          <w:ilvl w:val="0"/>
          <w:numId w:val="5"/>
        </w:numPr>
        <w:shd w:val="clear" w:color="auto" w:fill="auto"/>
        <w:tabs>
          <w:tab w:pos="908" w:val="left"/>
        </w:tabs>
        <w:bidi w:val="0"/>
        <w:spacing w:before="0" w:after="0"/>
        <w:ind w:left="0" w:right="0"/>
        <w:jc w:val="both"/>
      </w:pPr>
      <w:r>
        <w:rPr>
          <w:color w:val="000000"/>
          <w:spacing w:val="0"/>
          <w:w w:val="100"/>
          <w:position w:val="0"/>
          <w:shd w:val="clear" w:color="auto" w:fill="auto"/>
          <w:lang w:val="ru-RU" w:eastAsia="ru-RU" w:bidi="ru-RU"/>
        </w:rPr>
        <w:t>исправление реестровых ошибок в сведениях о местоположении границ объектов недвижимости.</w:t>
      </w:r>
    </w:p>
    <w:p>
      <w:pPr>
        <w:pStyle w:val="Style13"/>
        <w:keepNext w:val="0"/>
        <w:keepLines w:val="0"/>
        <w:widowControl w:val="0"/>
        <w:shd w:val="clear" w:color="auto" w:fill="auto"/>
        <w:bidi w:val="0"/>
        <w:spacing w:before="0" w:after="0" w:line="240" w:lineRule="auto"/>
        <w:ind w:left="0" w:right="0"/>
        <w:jc w:val="both"/>
      </w:pPr>
      <w:r>
        <w:rPr>
          <w:color w:val="000000"/>
          <w:spacing w:val="0"/>
          <w:w w:val="100"/>
          <w:position w:val="0"/>
          <w:shd w:val="clear" w:color="auto" w:fill="auto"/>
          <w:lang w:val="ru-RU" w:eastAsia="ru-RU" w:bidi="ru-RU"/>
        </w:rPr>
        <w:t>Объем работ - Комплексные кадастровые работы выполняются на территории города федерального значения Севастополь в отношении всех объектов недвижимости, расположенных на территории кадастровых кварталов, указанных в Объекте закупки настоящего Технического задания. Общее количество объектов недвижимости, расположенных на территории кадастровых кварталов не менее 14 179, в том числе 5 259 земельных участков и 8 920 объекта капитального строительства.</w:t>
      </w:r>
    </w:p>
    <w:p>
      <w:pPr>
        <w:pStyle w:val="Style13"/>
        <w:keepNext w:val="0"/>
        <w:keepLines w:val="0"/>
        <w:widowControl w:val="0"/>
        <w:shd w:val="clear" w:color="auto" w:fill="auto"/>
        <w:bidi w:val="0"/>
        <w:spacing w:before="0" w:after="0" w:line="240" w:lineRule="auto"/>
        <w:ind w:left="0" w:right="0"/>
        <w:jc w:val="both"/>
      </w:pPr>
      <w:r>
        <w:rPr>
          <w:color w:val="000000"/>
          <w:spacing w:val="0"/>
          <w:w w:val="100"/>
          <w:position w:val="0"/>
          <w:shd w:val="clear" w:color="auto" w:fill="auto"/>
          <w:lang w:val="ru-RU" w:eastAsia="ru-RU" w:bidi="ru-RU"/>
        </w:rPr>
        <w:t>Объект закупки - выполнение комплексных кадастровых работ в отношении кадастровых кварталов: 91:04:027001, 91:01:073003, 91:01:038001, 91:01:073005, 91:01:073008, 91:01:073001, 91:01:007002, 91:02:004001, 91:02:001002, 91:03:002006, 91:03:001002, 91:04:037002, 91:04:022001, 91:03:001004, 91:03:002003, 91:04:022002 в городе федерального значения Севастополе.</w:t>
      </w:r>
    </w:p>
    <w:p>
      <w:pPr>
        <w:pStyle w:val="Style13"/>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ru-RU" w:eastAsia="ru-RU" w:bidi="ru-RU"/>
        </w:rPr>
        <w:t xml:space="preserve">Согласно части 3 статьи 42.6 Федерального закона от 24.07.2007 г. К 221-ФЗ «О кадастровой деятельности» (далее - Закон о кадастровой деятельности), для определения местоположения границ земельных участков при выполнении комплексных кадастровых работ могут использоваться материалы землеустроительной документации, содержащейся в государственном фонде данных, полученных в результате проведения землеустройства, материалы и пространственные данные федерального фонда пространственных данных, ведомственных фондов пространственных данных, фондов пространственных данных субъектов Российской Федерации, ситуационные планы, содержащиеся в технических паспортах расположенных на земельных участках объектов недвижимости, хранившихся по состоянию на 1 января 2013 года в органах и организациях по государственному техническому учету и (или) технической инвентаризации в составе учетно-технической документации об объектах </w:t>
      </w:r>
      <w:r>
        <w:rPr>
          <w:color w:val="000000"/>
          <w:spacing w:val="0"/>
          <w:w w:val="100"/>
          <w:position w:val="0"/>
          <w:shd w:val="clear" w:color="auto" w:fill="auto"/>
          <w:lang w:val="ru-RU" w:eastAsia="ru-RU" w:bidi="ru-RU"/>
        </w:rPr>
        <w:t>государственного технического учета и технической инвентаризации, планово</w:t>
        <w:softHyphen/>
        <w:t>картографические материалы, имеющиеся в органах местного самоуправления муниципальных районов, органах местного самоуправления муниципальных округов, городских округов, органах местного самоуправления поселений, документы о правах на землю и иные документы, содержащие сведения о местоположении границ земельных участков.</w:t>
      </w:r>
    </w:p>
    <w:p>
      <w:pPr>
        <w:pStyle w:val="Style13"/>
        <w:keepNext w:val="0"/>
        <w:keepLines w:val="0"/>
        <w:widowControl w:val="0"/>
        <w:shd w:val="clear" w:color="auto" w:fill="auto"/>
        <w:bidi w:val="0"/>
        <w:spacing w:before="0" w:after="0" w:line="240" w:lineRule="auto"/>
        <w:ind w:left="0" w:right="0"/>
        <w:jc w:val="both"/>
      </w:pPr>
      <w:r>
        <w:rPr>
          <w:color w:val="000000"/>
          <w:spacing w:val="0"/>
          <w:w w:val="100"/>
          <w:position w:val="0"/>
          <w:shd w:val="clear" w:color="auto" w:fill="auto"/>
          <w:lang w:val="ru-RU" w:eastAsia="ru-RU" w:bidi="ru-RU"/>
        </w:rPr>
        <w:t>В соответствии со статьей 9 Закона РФ от 21.07.1993 К 5485-1 "О государственной тайне", отнесение сведений к государственной тайне осуществляется в соответствии с их отраслевой, ведомственной или программно</w:t>
        <w:softHyphen/>
        <w:t>целевой принадлежностью, а также в соответствии с настоящим Законом.</w:t>
      </w:r>
    </w:p>
    <w:p>
      <w:pPr>
        <w:pStyle w:val="Style13"/>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ru-RU" w:eastAsia="ru-RU" w:bidi="ru-RU"/>
        </w:rPr>
        <w:t>Органами государственной власти, руководители которых наделены полномочиями по отнесению сведений к государственной тайне, в соответствии с Перечнем сведений, отнесенных к государственной тайне, разрабатываются развернутые перечни сведений, подлежащих засекречиванию. В эти перечни включаются сведения, полномочиями по распоряжению которыми наделены указанные органы, и устанавливается степень их секретности. В рамках целевых программ по разработке и модернизации образцов вооружения и военной техники, опытно-конструкторских и научно-исследовательских работ по решению заказчиков указанных образцов и работ могут разрабатываться отдельные перечни сведений, подлежащих засекречиванию. Эти перечни утверждаются соответствующими руководителями органов государственной власти. Целесообразность засекречивания таких перечней определяется их содержанием.</w:t>
      </w:r>
    </w:p>
    <w:p>
      <w:pPr>
        <w:pStyle w:val="Style13"/>
        <w:keepNext w:val="0"/>
        <w:keepLines w:val="0"/>
        <w:widowControl w:val="0"/>
        <w:shd w:val="clear" w:color="auto" w:fill="auto"/>
        <w:bidi w:val="0"/>
        <w:spacing w:before="0" w:after="0" w:line="240" w:lineRule="auto"/>
        <w:ind w:left="0" w:right="0"/>
        <w:jc w:val="both"/>
      </w:pPr>
      <w:r>
        <w:rPr>
          <w:color w:val="000000"/>
          <w:spacing w:val="0"/>
          <w:w w:val="100"/>
          <w:position w:val="0"/>
          <w:shd w:val="clear" w:color="auto" w:fill="auto"/>
          <w:lang w:val="ru-RU" w:eastAsia="ru-RU" w:bidi="ru-RU"/>
        </w:rPr>
        <w:t>Объектом закупки является оказание услуг по комплексным кадастровым работам, соответственно в описании объекта закупки указаны кварталы, по которым будет проводится кадастрирование. Департамент имущественных и земельных отношений, при формировании закупки, направил письмо в ФГКУ «Крымское территориальное Управление имущественных отношений» Минобороны России (далее - Крымское ТУПО) с указание границ кадастровых кварталов, по которым необходимо провести кадастровые работы. В ответ получено письмо, в котором Крымское ТУПО определило, что в границах кадастровых кварталов, указанных в запросах, расположены земельные участки военных городков, используемых в интересах Вооруженных Сил Российской Федерации.</w:t>
      </w:r>
    </w:p>
    <w:p>
      <w:pPr>
        <w:pStyle w:val="Style13"/>
        <w:keepNext w:val="0"/>
        <w:keepLines w:val="0"/>
        <w:widowControl w:val="0"/>
        <w:shd w:val="clear" w:color="auto" w:fill="auto"/>
        <w:bidi w:val="0"/>
        <w:spacing w:before="0" w:after="0" w:line="240" w:lineRule="auto"/>
        <w:ind w:left="0" w:right="0"/>
        <w:jc w:val="both"/>
      </w:pPr>
      <w:r>
        <w:rPr>
          <w:color w:val="000000"/>
          <w:spacing w:val="0"/>
          <w:w w:val="100"/>
          <w:position w:val="0"/>
          <w:shd w:val="clear" w:color="auto" w:fill="auto"/>
          <w:lang w:val="ru-RU" w:eastAsia="ru-RU" w:bidi="ru-RU"/>
        </w:rPr>
        <w:t>Указом Президента Российской Федерации от 30.11.1995 г. К 1203 (далее - Указ К 1203) утвержден Перечень сведений, отнесенных к государственной тайне. В частности, п. 60 указанного перечня установлено, что геопространственные сведения по территории Российской Федерации и другим районам Земли, раскрывающие результаты топографической, геодезической, картографической деятельности, имеющие важное оборонное или экономическое значение, относятся к сведениям, составляющим государственную тайну.</w:t>
      </w:r>
    </w:p>
    <w:p>
      <w:pPr>
        <w:pStyle w:val="Style13"/>
        <w:keepNext w:val="0"/>
        <w:keepLines w:val="0"/>
        <w:widowControl w:val="0"/>
        <w:shd w:val="clear" w:color="auto" w:fill="auto"/>
        <w:bidi w:val="0"/>
        <w:spacing w:before="0" w:after="0" w:line="240" w:lineRule="auto"/>
        <w:ind w:left="0" w:right="0"/>
        <w:jc w:val="both"/>
      </w:pPr>
      <w:r>
        <w:rPr>
          <w:color w:val="000000"/>
          <w:spacing w:val="0"/>
          <w:w w:val="100"/>
          <w:position w:val="0"/>
          <w:shd w:val="clear" w:color="auto" w:fill="auto"/>
          <w:lang w:val="ru-RU" w:eastAsia="ru-RU" w:bidi="ru-RU"/>
        </w:rPr>
        <w:t xml:space="preserve">В соответствии со статьей 11 Закона о государственной тайне, основанием для засекречивания сведений, полученных (разработанных) в результате управленческой, производственной, научной и иных видов деятельности органов </w:t>
      </w:r>
      <w:r>
        <w:rPr>
          <w:color w:val="000000"/>
          <w:spacing w:val="0"/>
          <w:w w:val="100"/>
          <w:position w:val="0"/>
          <w:shd w:val="clear" w:color="auto" w:fill="auto"/>
          <w:lang w:val="ru-RU" w:eastAsia="ru-RU" w:bidi="ru-RU"/>
        </w:rPr>
        <w:t>государственной власти, предприятий, учреждений и организаций, является их соответствие действующим в данных органах, на данных предприятиях, в данных учреждениях и организациях перечням сведений, подлежащих засекречиванию. При засекречивании этих сведений их носителям присваивается соответствующий гриф секретности.</w:t>
      </w:r>
    </w:p>
    <w:p>
      <w:pPr>
        <w:pStyle w:val="Style13"/>
        <w:keepNext w:val="0"/>
        <w:keepLines w:val="0"/>
        <w:widowControl w:val="0"/>
        <w:shd w:val="clear" w:color="auto" w:fill="auto"/>
        <w:bidi w:val="0"/>
        <w:spacing w:before="0" w:after="0" w:line="240" w:lineRule="auto"/>
        <w:ind w:left="0" w:right="0"/>
        <w:jc w:val="both"/>
      </w:pPr>
      <w:r>
        <w:rPr>
          <w:color w:val="000000"/>
          <w:spacing w:val="0"/>
          <w:w w:val="100"/>
          <w:position w:val="0"/>
          <w:shd w:val="clear" w:color="auto" w:fill="auto"/>
          <w:lang w:val="ru-RU" w:eastAsia="ru-RU" w:bidi="ru-RU"/>
        </w:rPr>
        <w:t>Из совокупности приведенных норм установлено, что перечни сведений, подлежащих засекречиванию, не ограничиваются только статьей 5 Закона о государственной тайне и Указом К 1203. Законодательством о государственной тайне предусмотрены иные нормы и правовые акты, в соответствии с которыми сведения подлежат засекречиванию.</w:t>
      </w:r>
    </w:p>
    <w:p>
      <w:pPr>
        <w:pStyle w:val="Style13"/>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ru-RU" w:eastAsia="ru-RU" w:bidi="ru-RU"/>
        </w:rPr>
        <w:t>Согласно статье 27 Закона о государственной тайне, допуск предприятий, учреждений и организаций к проведению работ, связанных с использованием сведений, составляющих государственную тайну, созданием средств защиты информации, а также с осуществлением мероприятий и (или) оказанием услуг по защите государственной тайны, осуществляется путем получения ими в порядке, устанавливаемом Правительством Российской Федерации, лицензий на проведение работ со сведениями соответствующей степени секретности.</w:t>
      </w:r>
    </w:p>
    <w:p>
      <w:pPr>
        <w:pStyle w:val="Style13"/>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ru-RU" w:eastAsia="ru-RU" w:bidi="ru-RU"/>
        </w:rPr>
        <w:t>На основании вышеизложенного, установленные Заказчиком требования о наличии лицензии на осуществление работ с использованием сведений, составляющих государственную тайну, не противоречит действующему законодательству.</w:t>
      </w:r>
    </w:p>
    <w:p>
      <w:pPr>
        <w:pStyle w:val="Style13"/>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ru-RU" w:eastAsia="ru-RU" w:bidi="ru-RU"/>
        </w:rPr>
        <w:t>Согласно правовой позиции Минфина России и ФАС России, изложенной в совместном письме от 25.08.2017 г. Ы 24-04-06/55025 и Ы РП/59080/17, ФАС России и его территориальные органы осуществляют контроль в сфере контрактной системы с момента размещения в ЕИС извещения о проведении электронного аукциона до момента заключения контракта.</w:t>
      </w:r>
    </w:p>
    <w:p>
      <w:pPr>
        <w:pStyle w:val="Style13"/>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ru-RU" w:eastAsia="ru-RU" w:bidi="ru-RU"/>
        </w:rPr>
        <w:t>Учитывая изложенное, Комиссия Управления приходит к выводу о том, что доводы Заявителя являются необоснованными.</w:t>
      </w:r>
    </w:p>
    <w:p>
      <w:pPr>
        <w:pStyle w:val="Style13"/>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ru-RU" w:eastAsia="ru-RU" w:bidi="ru-RU"/>
        </w:rPr>
        <w:t>Основания для признания жалобы обоснованной, выдачи предписания, передачи материалов жалобы для рассмотрения вопроса о дела об административном правонарушении отсутствуют. В рамках внеплановой проверки Комиссией Управления иных нарушений Закона о контрактной системе при проведении аукциона не выявлено</w:t>
      </w:r>
    </w:p>
    <w:p>
      <w:pPr>
        <w:pStyle w:val="Style13"/>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ru-RU" w:eastAsia="ru-RU" w:bidi="ru-RU"/>
        </w:rPr>
        <w:t>Пунктом 3.33 Административного регламента установлено, что по результатам рассмотрения жалобы и проведения внеплановой проверки Комиссия принимает единое решение. Решение принимается Комиссией простым большинством голосов членов Комиссии, присутствовавших на заседании Комиссии, на основании документов и сведений, представленных на заседание Комиссии.</w:t>
      </w:r>
    </w:p>
    <w:p>
      <w:pPr>
        <w:pStyle w:val="Style13"/>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ru-RU" w:eastAsia="ru-RU" w:bidi="ru-RU"/>
        </w:rPr>
        <w:t>Исследовав представленные материалы, руководствуясь статьями 99, 106 Закона о контрактной системе. Административным регламентом. Комиссия</w:t>
      </w:r>
      <w:r>
        <w:br w:type="page"/>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Управления,</w:t>
      </w:r>
    </w:p>
    <w:p>
      <w:pPr>
        <w:pStyle w:val="Style13"/>
        <w:keepNext w:val="0"/>
        <w:keepLines w:val="0"/>
        <w:widowControl w:val="0"/>
        <w:shd w:val="clear" w:color="auto" w:fill="auto"/>
        <w:bidi w:val="0"/>
        <w:spacing w:before="0" w:after="0"/>
        <w:ind w:left="0" w:right="0" w:firstLine="0"/>
        <w:jc w:val="center"/>
      </w:pPr>
      <w:r>
        <w:rPr>
          <w:color w:val="000000"/>
          <w:spacing w:val="0"/>
          <w:w w:val="100"/>
          <w:position w:val="0"/>
          <w:shd w:val="clear" w:color="auto" w:fill="auto"/>
          <w:lang w:val="ru-RU" w:eastAsia="ru-RU" w:bidi="ru-RU"/>
        </w:rPr>
        <w:t>РЕШИЛА:</w:t>
      </w:r>
    </w:p>
    <w:p>
      <w:pPr>
        <w:pStyle w:val="Style13"/>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ru-RU" w:eastAsia="ru-RU" w:bidi="ru-RU"/>
        </w:rPr>
        <w:t>1. Признать жалобу Общества с ограниченной ответственностью «Проектный институт «Геоплан» на действия Департамента по имущественным и земельным отношениям города Севастополя при проведении открытого конкурса в электронной форме на оказание услуг по комплексным кадастровым работам, извещение №0174500001123002244, необоснованной.</w:t>
      </w:r>
    </w:p>
    <w:p>
      <w:pPr>
        <w:pStyle w:val="Style13"/>
        <w:keepNext w:val="0"/>
        <w:keepLines w:val="0"/>
        <w:widowControl w:val="0"/>
        <w:shd w:val="clear" w:color="auto" w:fill="auto"/>
        <w:bidi w:val="0"/>
        <w:spacing w:before="0" w:after="240"/>
        <w:ind w:left="0" w:right="0"/>
        <w:jc w:val="both"/>
      </w:pPr>
      <w:r>
        <w:rPr>
          <w:color w:val="000000"/>
          <w:spacing w:val="0"/>
          <w:w w:val="100"/>
          <w:position w:val="0"/>
          <w:shd w:val="clear" w:color="auto" w:fill="auto"/>
          <w:lang w:val="ru-RU" w:eastAsia="ru-RU" w:bidi="ru-RU"/>
        </w:rPr>
        <w:t>2. Снять ограничения, установленные уведомлением Крымского УФАС России №ВМ/906/23 от 16.05.2023г. о принятии жалобы к рассмотрению.</w:t>
      </w:r>
    </w:p>
    <w:p>
      <w:pPr>
        <w:pStyle w:val="Style10"/>
        <w:keepNext w:val="0"/>
        <w:keepLines w:val="0"/>
        <w:widowControl w:val="0"/>
        <w:shd w:val="clear" w:color="auto" w:fill="auto"/>
        <w:bidi w:val="0"/>
        <w:spacing w:before="0" w:after="0" w:line="240" w:lineRule="auto"/>
        <w:ind w:left="0" w:right="0"/>
        <w:jc w:val="both"/>
      </w:pPr>
      <w:r>
        <w:rPr>
          <w:color w:val="000000"/>
          <w:spacing w:val="0"/>
          <w:w w:val="100"/>
          <w:position w:val="0"/>
          <w:shd w:val="clear" w:color="auto" w:fill="auto"/>
          <w:lang w:val="ru-RU" w:eastAsia="ru-RU" w:bidi="ru-RU"/>
        </w:rPr>
        <w:t>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pStyle w:val="Style10"/>
        <w:keepNext w:val="0"/>
        <w:keepLines w:val="0"/>
        <w:widowControl w:val="0"/>
        <w:shd w:val="clear" w:color="auto" w:fill="auto"/>
        <w:bidi w:val="0"/>
        <w:spacing w:before="0" w:after="0" w:line="240" w:lineRule="auto"/>
        <w:ind w:left="0" w:right="0"/>
        <w:jc w:val="left"/>
      </w:pPr>
      <w:r>
        <w:rPr>
          <w:color w:val="000000"/>
          <w:spacing w:val="0"/>
          <w:w w:val="100"/>
          <w:position w:val="0"/>
          <w:shd w:val="clear" w:color="auto" w:fill="auto"/>
          <w:lang w:val="ru-RU" w:eastAsia="ru-RU" w:bidi="ru-RU"/>
        </w:rPr>
        <w:t>Дела об обжаловании решения контрольного органа в сфере закупок подведомственны арбитражному суду.</w:t>
      </w:r>
    </w:p>
    <w:p>
      <w:pPr>
        <w:pStyle w:val="Style10"/>
        <w:keepNext w:val="0"/>
        <w:keepLines w:val="0"/>
        <w:widowControl w:val="0"/>
        <w:shd w:val="clear" w:color="auto" w:fill="auto"/>
        <w:bidi w:val="0"/>
        <w:spacing w:before="0" w:after="0" w:line="240" w:lineRule="auto"/>
        <w:ind w:left="0" w:right="0"/>
        <w:jc w:val="both"/>
      </w:pPr>
      <w:r>
        <w:rPr>
          <w:color w:val="000000"/>
          <w:spacing w:val="0"/>
          <w:w w:val="100"/>
          <w:position w:val="0"/>
          <w:shd w:val="clear" w:color="auto" w:fill="auto"/>
          <w:lang w:val="ru-RU" w:eastAsia="ru-RU" w:bidi="ru-RU"/>
        </w:rPr>
        <w:t>В рамках досудебного (внесудебного) обжалования могут быть обжалованы действия (бездействие) контрольного органа, его должностных лиц и решений, принятых (осуществляемых) ими в ходе исполнения контрольных функций в ФАС России, в порядке, предусмотренном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 ноября 2014 года № 727/14.</w:t>
      </w:r>
    </w:p>
    <w:p>
      <w:pPr>
        <w:widowControl w:val="0"/>
        <w:spacing w:line="1" w:lineRule="exact"/>
        <w:sectPr>
          <w:footnotePr>
            <w:pos w:val="pageBottom"/>
            <w:numFmt w:val="decimal"/>
            <w:numRestart w:val="continuous"/>
          </w:footnotePr>
          <w:type w:val="continuous"/>
          <w:pgSz w:w="11900" w:h="16840"/>
          <w:pgMar w:top="592" w:right="534" w:bottom="1282" w:left="1080" w:header="0" w:footer="3" w:gutter="0"/>
          <w:cols w:space="720"/>
          <w:noEndnote/>
          <w:rtlGutter w:val="0"/>
          <w:docGrid w:linePitch="360"/>
        </w:sectPr>
      </w:pPr>
      <w:r>
        <mc:AlternateContent>
          <mc:Choice Requires="wps">
            <w:drawing>
              <wp:anchor distT="482600" distB="225425" distL="0" distR="0" simplePos="0" relativeHeight="125829379" behindDoc="0" locked="0" layoutInCell="1" allowOverlap="1">
                <wp:simplePos x="0" y="0"/>
                <wp:positionH relativeFrom="page">
                  <wp:posOffset>729615</wp:posOffset>
                </wp:positionH>
                <wp:positionV relativeFrom="paragraph">
                  <wp:posOffset>482600</wp:posOffset>
                </wp:positionV>
                <wp:extent cx="1828800" cy="250190"/>
                <wp:wrapTopAndBottom/>
                <wp:docPr id="7" name="Shape 7"/>
                <a:graphic xmlns:a="http://schemas.openxmlformats.org/drawingml/2006/main">
                  <a:graphicData uri="http://schemas.microsoft.com/office/word/2010/wordprocessingShape">
                    <wps:wsp>
                      <wps:cNvSpPr txBox="1"/>
                      <wps:spPr>
                        <a:xfrm>
                          <a:ext cx="1828800" cy="25019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3" type="#_x0000_t202" style="position:absolute;margin-left:57.450000000000003pt;margin-top:38.pt;width:144.pt;height:19.699999999999999pt;z-index:-125829374;mso-wrap-distance-left:0;mso-wrap-distance-top:38.pt;mso-wrap-distance-right:0;mso-wrap-distance-bottom:17.75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555625" distB="6350" distL="0" distR="1786255" simplePos="0" relativeHeight="125829381" behindDoc="0" locked="0" layoutInCell="1" allowOverlap="1">
            <wp:simplePos x="0" y="0"/>
            <wp:positionH relativeFrom="page">
              <wp:posOffset>2707640</wp:posOffset>
            </wp:positionH>
            <wp:positionV relativeFrom="paragraph">
              <wp:posOffset>555625</wp:posOffset>
            </wp:positionV>
            <wp:extent cx="347345" cy="396240"/>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9"/>
                    <a:stretch/>
                  </pic:blipFill>
                  <pic:spPr>
                    <a:xfrm>
                      <a:ext cx="347345" cy="39624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3119120</wp:posOffset>
                </wp:positionH>
                <wp:positionV relativeFrom="paragraph">
                  <wp:posOffset>643890</wp:posOffset>
                </wp:positionV>
                <wp:extent cx="1722120" cy="255905"/>
                <wp:wrapNone/>
                <wp:docPr id="11" name="Shape 1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5"/>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37" type="#_x0000_t202" style="position:absolute;margin-left:245.59999999999999pt;margin-top:50.700000000000003pt;width:135.59999999999999pt;height:20.150000000000002pt;z-index:251657729;mso-wrap-distance-left:0;mso-wrap-distance-right:0;mso-position-horizontal-relative:page" filled="f" stroked="f">
                <v:textbox inset="0,0,0,0">
                  <w:txbxContent>
                    <w:p>
                      <w:pPr>
                        <w:pStyle w:val="Style25"/>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735330" distB="635" distL="0" distR="0" simplePos="0" relativeHeight="125829382" behindDoc="0" locked="0" layoutInCell="1" allowOverlap="1">
                <wp:simplePos x="0" y="0"/>
                <wp:positionH relativeFrom="page">
                  <wp:posOffset>6127750</wp:posOffset>
                </wp:positionH>
                <wp:positionV relativeFrom="paragraph">
                  <wp:posOffset>735330</wp:posOffset>
                </wp:positionV>
                <wp:extent cx="1051560" cy="222250"/>
                <wp:wrapTopAndBottom/>
                <wp:docPr id="13" name="Shape 13"/>
                <a:graphic xmlns:a="http://schemas.openxmlformats.org/drawingml/2006/main">
                  <a:graphicData uri="http://schemas.microsoft.com/office/word/2010/wordprocessingShape">
                    <wps:wsp>
                      <wps:cNvSpPr txBox="1"/>
                      <wps:spPr>
                        <a:xfrm>
                          <a:ext cx="1051560" cy="22225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В.В. Мехтиев</w:t>
                            </w:r>
                          </w:p>
                        </w:txbxContent>
                      </wps:txbx>
                      <wps:bodyPr wrap="none" lIns="0" tIns="0" rIns="0" bIns="0">
                        <a:noAutoFit/>
                      </wps:bodyPr>
                    </wps:wsp>
                  </a:graphicData>
                </a:graphic>
              </wp:anchor>
            </w:drawing>
          </mc:Choice>
          <mc:Fallback>
            <w:pict>
              <v:shape id="_x0000_s1039" type="#_x0000_t202" style="position:absolute;margin-left:482.5pt;margin-top:57.899999999999999pt;width:82.799999999999997pt;height:17.5pt;z-index:-125829371;mso-wrap-distance-left:0;mso-wrap-distance-top:57.899999999999999pt;mso-wrap-distance-right:0;mso-wrap-distance-bottom:5.0000000000000003e-002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В.В. Мехтиев</w:t>
                      </w:r>
                    </w:p>
                  </w:txbxContent>
                </v:textbox>
                <w10:wrap type="topAndBottom" anchorx="page"/>
              </v:shape>
            </w:pict>
          </mc:Fallback>
        </mc:AlternateContent>
      </w:r>
    </w:p>
    <w:p>
      <w:pPr>
        <w:pStyle w:val="Style33"/>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left="0" w:right="0" w:firstLine="0"/>
        <w:jc w:val="center"/>
      </w:pPr>
      <w:r>
        <w:rPr>
          <w:color w:val="FFFFFF"/>
          <w:spacing w:val="0"/>
          <w:w w:val="100"/>
          <w:position w:val="0"/>
          <w:shd w:val="clear" w:color="auto" w:fill="auto"/>
          <w:lang w:val="ru-RU" w:eastAsia="ru-RU" w:bidi="ru-RU"/>
        </w:rPr>
        <w:t>СВЕДЕНИЯ О СЕРТИФИКАТЕ ЭП</w:t>
      </w:r>
    </w:p>
    <w:p>
      <w:pPr>
        <w:pStyle w:val="Style35"/>
        <w:keepNext w:val="0"/>
        <w:keepLines w:val="0"/>
        <w:widowControl w:val="0"/>
        <w:shd w:val="clear" w:color="auto" w:fill="auto"/>
        <w:bidi w:val="0"/>
        <w:spacing w:before="0" w:after="0" w:line="240" w:lineRule="auto"/>
        <w:ind w:right="0" w:firstLine="0"/>
        <w:jc w:val="left"/>
      </w:pPr>
      <w:r>
        <w:rPr>
          <w:color w:val="696969"/>
          <w:spacing w:val="0"/>
          <w:w w:val="100"/>
          <w:position w:val="0"/>
          <w:shd w:val="clear" w:color="auto" w:fill="auto"/>
          <w:lang w:val="ru-RU" w:eastAsia="ru-RU" w:bidi="ru-RU"/>
        </w:rPr>
        <w:t xml:space="preserve">Кому </w:t>
      </w:r>
      <w:r>
        <w:rPr>
          <w:color w:val="000000"/>
          <w:spacing w:val="0"/>
          <w:w w:val="100"/>
          <w:position w:val="0"/>
          <w:shd w:val="clear" w:color="auto" w:fill="auto"/>
          <w:lang w:val="ru-RU" w:eastAsia="ru-RU" w:bidi="ru-RU"/>
        </w:rPr>
        <w:t>выдан: Мехтиев Вугар Вагифович</w:t>
      </w:r>
    </w:p>
    <w:p>
      <w:pPr>
        <w:pStyle w:val="Style35"/>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009Е0786ЕВСВЕ866ВСЕ9В6875С73Е2650</w:t>
      </w:r>
      <w:r>
        <w:rPr>
          <w:spacing w:val="0"/>
          <w:w w:val="100"/>
          <w:position w:val="0"/>
          <w:shd w:val="clear" w:color="auto" w:fill="auto"/>
          <w:lang w:val="ru-RU" w:eastAsia="ru-RU" w:bidi="ru-RU"/>
        </w:rPr>
        <w:t>Е</w:t>
      </w:r>
    </w:p>
    <w:p>
      <w:pPr>
        <w:pStyle w:val="Style35"/>
        <w:keepNext w:val="0"/>
        <w:keepLines w:val="0"/>
        <w:widowControl w:val="0"/>
        <w:shd w:val="clear" w:color="auto" w:fill="auto"/>
        <w:bidi w:val="0"/>
        <w:spacing w:before="0" w:after="240" w:line="240" w:lineRule="auto"/>
        <w:ind w:right="0" w:firstLine="0"/>
        <w:jc w:val="left"/>
      </w:pPr>
      <w:r>
        <w:rPr>
          <w:color w:val="000000"/>
          <w:spacing w:val="0"/>
          <w:w w:val="100"/>
          <w:position w:val="0"/>
          <w:shd w:val="clear" w:color="auto" w:fill="auto"/>
          <w:lang w:val="ru-RU" w:eastAsia="ru-RU" w:bidi="ru-RU"/>
        </w:rPr>
        <w:t xml:space="preserve">Действителен с </w:t>
      </w:r>
      <w:r>
        <w:rPr>
          <w:color w:val="696969"/>
          <w:spacing w:val="0"/>
          <w:w w:val="100"/>
          <w:position w:val="0"/>
          <w:shd w:val="clear" w:color="auto" w:fill="auto"/>
          <w:lang w:val="ru-RU" w:eastAsia="ru-RU" w:bidi="ru-RU"/>
        </w:rPr>
        <w:t xml:space="preserve">07.04.2023 по </w:t>
      </w:r>
      <w:r>
        <w:rPr>
          <w:spacing w:val="0"/>
          <w:w w:val="100"/>
          <w:position w:val="0"/>
          <w:shd w:val="clear" w:color="auto" w:fill="auto"/>
          <w:lang w:val="ru-RU" w:eastAsia="ru-RU" w:bidi="ru-RU"/>
        </w:rPr>
        <w:t>30.06.2024</w:t>
      </w:r>
    </w:p>
    <w:p>
      <w:pPr>
        <w:pStyle w:val="Style13"/>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13"/>
        <w:keepNext w:val="0"/>
        <w:keepLines w:val="0"/>
        <w:widowControl w:val="0"/>
        <w:shd w:val="clear" w:color="auto" w:fill="auto"/>
        <w:bidi w:val="0"/>
        <w:spacing w:before="0" w:after="620" w:line="240" w:lineRule="auto"/>
        <w:ind w:left="0" w:right="0" w:firstLine="0"/>
        <w:jc w:val="right"/>
      </w:pPr>
      <w:r>
        <w:drawing>
          <wp:anchor distT="0" distB="0" distL="114300" distR="1900555" simplePos="0" relativeHeight="125829384" behindDoc="0" locked="0" layoutInCell="1" allowOverlap="1">
            <wp:simplePos x="0" y="0"/>
            <wp:positionH relativeFrom="page">
              <wp:posOffset>2705100</wp:posOffset>
            </wp:positionH>
            <wp:positionV relativeFrom="paragraph">
              <wp:posOffset>63500</wp:posOffset>
            </wp:positionV>
            <wp:extent cx="353695" cy="536575"/>
            <wp:wrapSquare wrapText="right"/>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1"/>
                    <a:stretch/>
                  </pic:blipFill>
                  <pic:spPr>
                    <a:xfrm>
                      <a:ext cx="353695" cy="53657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3162300</wp:posOffset>
                </wp:positionH>
                <wp:positionV relativeFrom="paragraph">
                  <wp:posOffset>466090</wp:posOffset>
                </wp:positionV>
                <wp:extent cx="1280160" cy="100330"/>
                <wp:wrapNone/>
                <wp:docPr id="17" name="Shape 17"/>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2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FFFFFF"/>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3" type="#_x0000_t202" style="position:absolute;margin-left:249.pt;margin-top:36.700000000000003pt;width:100.8pt;height:7.9000000000000004pt;z-index:251657731;mso-wrap-distance-left:0;mso-wrap-distance-right:0;mso-position-horizontal-relative:page" filled="f" stroked="f">
                <v:textbox inset="0,0,0,0">
                  <w:txbxContent>
                    <w:p>
                      <w:pPr>
                        <w:pStyle w:val="Style2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FFFFFF"/>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3119755</wp:posOffset>
                </wp:positionH>
                <wp:positionV relativeFrom="paragraph">
                  <wp:posOffset>151765</wp:posOffset>
                </wp:positionV>
                <wp:extent cx="1722120" cy="255905"/>
                <wp:wrapNone/>
                <wp:docPr id="19" name="Shape 19"/>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5"/>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5" type="#_x0000_t202" style="position:absolute;margin-left:245.65000000000001pt;margin-top:11.950000000000001pt;width:135.59999999999999pt;height:20.150000000000002pt;z-index:251657733;mso-wrap-distance-left:0;mso-wrap-distance-right:0;mso-position-horizontal-relative:page" filled="f" stroked="f">
                <v:textbox inset="0,0,0,0">
                  <w:txbxContent>
                    <w:p>
                      <w:pPr>
                        <w:pStyle w:val="Style25"/>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hd w:val="clear" w:color="auto" w:fill="auto"/>
          <w:lang w:val="ru-RU" w:eastAsia="ru-RU" w:bidi="ru-RU"/>
        </w:rPr>
        <w:t>А.А. Соловьева</w:t>
      </w:r>
    </w:p>
    <w:p>
      <w:pPr>
        <w:pStyle w:val="Style35"/>
        <w:keepNext w:val="0"/>
        <w:keepLines w:val="0"/>
        <w:widowControl w:val="0"/>
        <w:shd w:val="clear" w:color="auto" w:fill="auto"/>
        <w:bidi w:val="0"/>
        <w:spacing w:before="0" w:after="0" w:line="240" w:lineRule="auto"/>
        <w:ind w:right="0" w:firstLine="0"/>
        <w:jc w:val="left"/>
      </w:pPr>
      <w:r>
        <w:rPr>
          <w:color w:val="696969"/>
          <w:spacing w:val="0"/>
          <w:w w:val="100"/>
          <w:position w:val="0"/>
          <w:shd w:val="clear" w:color="auto" w:fill="auto"/>
          <w:lang w:val="ru-RU" w:eastAsia="ru-RU" w:bidi="ru-RU"/>
        </w:rPr>
        <w:t xml:space="preserve">Кому </w:t>
      </w:r>
      <w:r>
        <w:rPr>
          <w:color w:val="000000"/>
          <w:spacing w:val="0"/>
          <w:w w:val="100"/>
          <w:position w:val="0"/>
          <w:shd w:val="clear" w:color="auto" w:fill="auto"/>
          <w:lang w:val="ru-RU" w:eastAsia="ru-RU" w:bidi="ru-RU"/>
        </w:rPr>
        <w:t>выдан: Соловьева Анастасия Алексеевна</w:t>
      </w:r>
    </w:p>
    <w:p>
      <w:pPr>
        <w:pStyle w:val="Style35"/>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30В9ВА8Е99АЕЗС02037Е5573ЕЕ1681А9</w:t>
      </w:r>
    </w:p>
    <w:p>
      <w:pPr>
        <w:pStyle w:val="Style35"/>
        <w:keepNext w:val="0"/>
        <w:keepLines w:val="0"/>
        <w:widowControl w:val="0"/>
        <w:shd w:val="clear" w:color="auto" w:fill="auto"/>
        <w:bidi w:val="0"/>
        <w:spacing w:before="0" w:after="240" w:line="240" w:lineRule="auto"/>
        <w:ind w:right="0" w:firstLine="0"/>
        <w:jc w:val="left"/>
      </w:pPr>
      <w:r>
        <w:rPr>
          <w:color w:val="696969"/>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96969"/>
          <w:spacing w:val="0"/>
          <w:w w:val="100"/>
          <w:position w:val="0"/>
          <w:shd w:val="clear" w:color="auto" w:fill="auto"/>
          <w:lang w:val="ru-RU" w:eastAsia="ru-RU" w:bidi="ru-RU"/>
        </w:rPr>
        <w:t>22.04.2022 по 16.07.2023</w:t>
      </w:r>
    </w:p>
    <w:p>
      <w:pPr>
        <w:pStyle w:val="Style13"/>
        <w:keepNext w:val="0"/>
        <w:keepLines w:val="0"/>
        <w:widowControl w:val="0"/>
        <w:shd w:val="clear" w:color="auto" w:fill="auto"/>
        <w:bidi w:val="0"/>
        <w:spacing w:before="0" w:after="620" w:line="240" w:lineRule="auto"/>
        <w:ind w:left="0" w:right="0" w:firstLine="0"/>
        <w:jc w:val="right"/>
      </w:pPr>
      <w:r>
        <w:drawing>
          <wp:anchor distT="0" distB="0" distL="114300" distR="1900555" simplePos="0" relativeHeight="125829385" behindDoc="0" locked="0" layoutInCell="1" allowOverlap="1">
            <wp:simplePos x="0" y="0"/>
            <wp:positionH relativeFrom="page">
              <wp:posOffset>2705100</wp:posOffset>
            </wp:positionH>
            <wp:positionV relativeFrom="paragraph">
              <wp:posOffset>63500</wp:posOffset>
            </wp:positionV>
            <wp:extent cx="353695" cy="536575"/>
            <wp:wrapSquare wrapText="right"/>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3"/>
                    <a:stretch/>
                  </pic:blipFill>
                  <pic:spPr>
                    <a:xfrm>
                      <a:ext cx="353695" cy="536575"/>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3162300</wp:posOffset>
                </wp:positionH>
                <wp:positionV relativeFrom="paragraph">
                  <wp:posOffset>466090</wp:posOffset>
                </wp:positionV>
                <wp:extent cx="1283335" cy="103505"/>
                <wp:wrapNone/>
                <wp:docPr id="23" name="Shape 23"/>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2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6E6E6"/>
                                <w:spacing w:val="0"/>
                                <w:w w:val="100"/>
                                <w:position w:val="0"/>
                                <w:sz w:val="12"/>
                                <w:szCs w:val="12"/>
                                <w:shd w:val="clear" w:color="auto" w:fill="auto"/>
                                <w:lang w:val="ru-RU" w:eastAsia="ru-RU" w:bidi="ru-RU"/>
                              </w:rPr>
                              <w:t xml:space="preserve">СВЕДЕНИЯ </w:t>
                            </w:r>
                            <w:r>
                              <w:rPr>
                                <w:color w:val="FFFFFF"/>
                                <w:spacing w:val="0"/>
                                <w:w w:val="100"/>
                                <w:position w:val="0"/>
                                <w:sz w:val="12"/>
                                <w:szCs w:val="12"/>
                                <w:shd w:val="clear" w:color="auto" w:fill="auto"/>
                                <w:lang w:val="ru-RU" w:eastAsia="ru-RU" w:bidi="ru-RU"/>
                              </w:rPr>
                              <w:t xml:space="preserve">О </w:t>
                            </w:r>
                            <w:r>
                              <w:rPr>
                                <w:color w:val="E6E6E6"/>
                                <w:spacing w:val="0"/>
                                <w:w w:val="100"/>
                                <w:position w:val="0"/>
                                <w:sz w:val="12"/>
                                <w:szCs w:val="12"/>
                                <w:shd w:val="clear" w:color="auto" w:fill="auto"/>
                                <w:lang w:val="ru-RU" w:eastAsia="ru-RU" w:bidi="ru-RU"/>
                              </w:rPr>
                              <w:t>СЕРТИФИКАТЕ ЭП</w:t>
                            </w:r>
                          </w:p>
                        </w:txbxContent>
                      </wps:txbx>
                      <wps:bodyPr lIns="0" tIns="0" rIns="0" bIns="0">
                        <a:noAutoFit/>
                      </wps:bodyPr>
                    </wps:wsp>
                  </a:graphicData>
                </a:graphic>
              </wp:anchor>
            </w:drawing>
          </mc:Choice>
          <mc:Fallback>
            <w:pict>
              <v:shape id="_x0000_s1049" type="#_x0000_t202" style="position:absolute;margin-left:249.pt;margin-top:36.700000000000003pt;width:101.05pt;height:8.1500000000000004pt;z-index:251657735;mso-wrap-distance-left:0;mso-wrap-distance-right:0;mso-position-horizontal-relative:page" filled="f" stroked="f">
                <v:textbox inset="0,0,0,0">
                  <w:txbxContent>
                    <w:p>
                      <w:pPr>
                        <w:pStyle w:val="Style2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6E6E6"/>
                          <w:spacing w:val="0"/>
                          <w:w w:val="100"/>
                          <w:position w:val="0"/>
                          <w:sz w:val="12"/>
                          <w:szCs w:val="12"/>
                          <w:shd w:val="clear" w:color="auto" w:fill="auto"/>
                          <w:lang w:val="ru-RU" w:eastAsia="ru-RU" w:bidi="ru-RU"/>
                        </w:rPr>
                        <w:t xml:space="preserve">СВЕДЕНИЯ </w:t>
                      </w:r>
                      <w:r>
                        <w:rPr>
                          <w:color w:val="FFFFFF"/>
                          <w:spacing w:val="0"/>
                          <w:w w:val="100"/>
                          <w:position w:val="0"/>
                          <w:sz w:val="12"/>
                          <w:szCs w:val="12"/>
                          <w:shd w:val="clear" w:color="auto" w:fill="auto"/>
                          <w:lang w:val="ru-RU" w:eastAsia="ru-RU" w:bidi="ru-RU"/>
                        </w:rPr>
                        <w:t xml:space="preserve">О </w:t>
                      </w:r>
                      <w:r>
                        <w:rPr>
                          <w:color w:val="E6E6E6"/>
                          <w:spacing w:val="0"/>
                          <w:w w:val="100"/>
                          <w:position w:val="0"/>
                          <w:sz w:val="12"/>
                          <w:szCs w:val="12"/>
                          <w:shd w:val="clear" w:color="auto" w:fill="auto"/>
                          <w:lang w:val="ru-RU" w:eastAsia="ru-RU" w:bidi="ru-RU"/>
                        </w:rPr>
                        <w:t>СЕРТИФИКАТЕ ЭП</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3119755</wp:posOffset>
                </wp:positionH>
                <wp:positionV relativeFrom="paragraph">
                  <wp:posOffset>154940</wp:posOffset>
                </wp:positionV>
                <wp:extent cx="1722120" cy="255905"/>
                <wp:wrapNone/>
                <wp:docPr id="25" name="Shape 25"/>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5"/>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51" type="#_x0000_t202" style="position:absolute;margin-left:245.65000000000001pt;margin-top:12.200000000000001pt;width:135.59999999999999pt;height:20.150000000000002pt;z-index:251657737;mso-wrap-distance-left:0;mso-wrap-distance-right:0;mso-position-horizontal-relative:page" filled="f" stroked="f">
                <v:textbox inset="0,0,0,0">
                  <w:txbxContent>
                    <w:p>
                      <w:pPr>
                        <w:pStyle w:val="Style25"/>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hd w:val="clear" w:color="auto" w:fill="auto"/>
          <w:lang w:val="ru-RU" w:eastAsia="ru-RU" w:bidi="ru-RU"/>
        </w:rPr>
        <w:t>К.В. Носова</w:t>
      </w:r>
    </w:p>
    <w:p>
      <w:pPr>
        <w:pStyle w:val="Style35"/>
        <w:keepNext w:val="0"/>
        <w:keepLines w:val="0"/>
        <w:widowControl w:val="0"/>
        <w:shd w:val="clear" w:color="auto" w:fill="auto"/>
        <w:bidi w:val="0"/>
        <w:spacing w:before="0" w:after="0" w:line="240" w:lineRule="auto"/>
        <w:ind w:right="0" w:firstLine="0"/>
        <w:jc w:val="left"/>
      </w:pPr>
      <w:r>
        <w:rPr>
          <w:color w:val="696969"/>
          <w:spacing w:val="0"/>
          <w:w w:val="100"/>
          <w:position w:val="0"/>
          <w:shd w:val="clear" w:color="auto" w:fill="auto"/>
          <w:lang w:val="ru-RU" w:eastAsia="ru-RU" w:bidi="ru-RU"/>
        </w:rPr>
        <w:t xml:space="preserve">Кому </w:t>
      </w:r>
      <w:r>
        <w:rPr>
          <w:color w:val="000000"/>
          <w:spacing w:val="0"/>
          <w:w w:val="100"/>
          <w:position w:val="0"/>
          <w:shd w:val="clear" w:color="auto" w:fill="auto"/>
          <w:lang w:val="ru-RU" w:eastAsia="ru-RU" w:bidi="ru-RU"/>
        </w:rPr>
        <w:t>выдан: Носова Ксения Владимировна</w:t>
      </w:r>
    </w:p>
    <w:p>
      <w:pPr>
        <w:pStyle w:val="Style35"/>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42424"/>
          <w:spacing w:val="0"/>
          <w:w w:val="100"/>
          <w:position w:val="0"/>
          <w:shd w:val="clear" w:color="auto" w:fill="auto"/>
          <w:lang w:val="ru-RU" w:eastAsia="ru-RU" w:bidi="ru-RU"/>
        </w:rPr>
        <w:t>3260В524Е8А1АС876730ВВА9О0А26ВОА</w:t>
      </w:r>
    </w:p>
    <w:p>
      <w:pPr>
        <w:pStyle w:val="Style35"/>
        <w:keepNext w:val="0"/>
        <w:keepLines w:val="0"/>
        <w:widowControl w:val="0"/>
        <w:shd w:val="clear" w:color="auto" w:fill="auto"/>
        <w:bidi w:val="0"/>
        <w:spacing w:before="0" w:after="1580" w:line="240" w:lineRule="auto"/>
        <w:ind w:right="0" w:firstLine="0"/>
        <w:jc w:val="left"/>
      </w:pPr>
      <w:r>
        <w:rPr>
          <w:color w:val="696969"/>
          <w:spacing w:val="0"/>
          <w:w w:val="100"/>
          <w:position w:val="0"/>
          <w:shd w:val="clear" w:color="auto" w:fill="auto"/>
          <w:lang w:val="ru-RU" w:eastAsia="ru-RU" w:bidi="ru-RU"/>
        </w:rPr>
        <w:t xml:space="preserve">Действителен </w:t>
      </w:r>
      <w:r>
        <w:rPr>
          <w:color w:val="242424"/>
          <w:spacing w:val="0"/>
          <w:w w:val="100"/>
          <w:position w:val="0"/>
          <w:shd w:val="clear" w:color="auto" w:fill="auto"/>
          <w:lang w:val="ru-RU" w:eastAsia="ru-RU" w:bidi="ru-RU"/>
        </w:rPr>
        <w:t xml:space="preserve">с </w:t>
      </w:r>
      <w:r>
        <w:rPr>
          <w:color w:val="696969"/>
          <w:spacing w:val="0"/>
          <w:w w:val="100"/>
          <w:position w:val="0"/>
          <w:shd w:val="clear" w:color="auto" w:fill="auto"/>
          <w:lang w:val="ru-RU" w:eastAsia="ru-RU" w:bidi="ru-RU"/>
        </w:rPr>
        <w:t xml:space="preserve">11.10.2022 </w:t>
      </w:r>
      <w:r>
        <w:rPr>
          <w:color w:val="8A8A8A"/>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04.01.2024</w:t>
      </w:r>
    </w:p>
    <w:p>
      <w:pPr>
        <w:pStyle w:val="Style18"/>
        <w:keepNext w:val="0"/>
        <w:keepLines w:val="0"/>
        <w:widowControl w:val="0"/>
        <w:shd w:val="clear" w:color="auto" w:fill="auto"/>
        <w:bidi w:val="0"/>
        <w:spacing w:before="0" w:after="80" w:line="240" w:lineRule="auto"/>
        <w:ind w:left="0" w:right="0" w:firstLine="0"/>
        <w:jc w:val="left"/>
        <w:rPr>
          <w:sz w:val="22"/>
          <w:szCs w:val="22"/>
        </w:rPr>
      </w:pPr>
      <w:r>
        <w:rPr>
          <w:i w:val="0"/>
          <w:iCs w:val="0"/>
          <w:color w:val="000000"/>
          <w:spacing w:val="0"/>
          <w:w w:val="100"/>
          <w:position w:val="0"/>
          <w:sz w:val="22"/>
          <w:szCs w:val="22"/>
          <w:shd w:val="clear" w:color="auto" w:fill="auto"/>
          <w:lang w:val="ru-RU" w:eastAsia="ru-RU" w:bidi="ru-RU"/>
        </w:rPr>
        <w:t>Исп.Соловьева А.А. тел.вн. 092-106</w:t>
      </w:r>
    </w:p>
    <w:sectPr>
      <w:footnotePr>
        <w:pos w:val="pageBottom"/>
        <w:numFmt w:val="decimal"/>
        <w:numRestart w:val="continuous"/>
      </w:footnotePr>
      <w:type w:val="continuous"/>
      <w:pgSz w:w="11900" w:h="16840"/>
      <w:pgMar w:top="1105" w:right="541" w:bottom="1105"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717550</wp:posOffset>
              </wp:positionH>
              <wp:positionV relativeFrom="page">
                <wp:posOffset>10163175</wp:posOffset>
              </wp:positionV>
              <wp:extent cx="648970" cy="100330"/>
              <wp:wrapNone/>
              <wp:docPr id="1" name="Shape 1"/>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2023-1722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5pt;margin-top:800.25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2023-1722</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648970" cy="100330"/>
              <wp:wrapNone/>
              <wp:docPr id="3" name="Shape 3"/>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2023-1722</w:t>
                          </w:r>
                        </w:p>
                      </w:txbxContent>
                    </wps:txbx>
                    <wps:bodyPr wrap="none" lIns="0" tIns="0" rIns="0" bIns="0">
                      <a:spAutoFit/>
                    </wps:bodyPr>
                  </wps:wsp>
                </a:graphicData>
              </a:graphic>
            </wp:anchor>
          </w:drawing>
        </mc:Choice>
        <mc:Fallback>
          <w:pict>
            <v:shape id="_x0000_s1029" type="#_x0000_t202" style="position:absolute;margin-left:57.pt;margin-top:776.20000000000005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2023-1722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7)_"/>
    <w:basedOn w:val="DefaultParagraphFont"/>
    <w:link w:val="Style2"/>
    <w:rPr>
      <w:rFonts w:ascii="Arial" w:eastAsia="Arial" w:hAnsi="Arial" w:cs="Arial"/>
      <w:b w:val="0"/>
      <w:bCs w:val="0"/>
      <w:i w:val="0"/>
      <w:iCs w:val="0"/>
      <w:smallCaps w:val="0"/>
      <w:strike w:val="0"/>
      <w:color w:val="4360A3"/>
      <w:sz w:val="72"/>
      <w:szCs w:val="72"/>
      <w:u w:val="single"/>
    </w:rPr>
  </w:style>
  <w:style w:type="character" w:customStyle="1" w:styleId="CharStyle5">
    <w:name w:val="Колонтитул (2)_"/>
    <w:basedOn w:val="DefaultParagraphFont"/>
    <w:link w:val="Style4"/>
    <w:rPr>
      <w:rFonts w:ascii="Times New Roman" w:eastAsia="Times New Roman" w:hAnsi="Times New Roman" w:cs="Times New Roman"/>
      <w:b w:val="0"/>
      <w:bCs w:val="0"/>
      <w:i w:val="0"/>
      <w:iCs w:val="0"/>
      <w:smallCaps w:val="0"/>
      <w:strike w:val="0"/>
      <w:sz w:val="20"/>
      <w:szCs w:val="20"/>
      <w:u w:val="none"/>
    </w:rPr>
  </w:style>
  <w:style w:type="character" w:customStyle="1" w:styleId="CharStyle8">
    <w:name w:val="Основной текст (5)_"/>
    <w:basedOn w:val="DefaultParagraphFont"/>
    <w:link w:val="Style7"/>
    <w:rPr>
      <w:rFonts w:ascii="Times New Roman" w:eastAsia="Times New Roman" w:hAnsi="Times New Roman" w:cs="Times New Roman"/>
      <w:b w:val="0"/>
      <w:bCs w:val="0"/>
      <w:i w:val="0"/>
      <w:iCs w:val="0"/>
      <w:smallCaps w:val="0"/>
      <w:strike w:val="0"/>
      <w:color w:val="4360A3"/>
      <w:sz w:val="16"/>
      <w:szCs w:val="16"/>
      <w:u w:val="none"/>
    </w:rPr>
  </w:style>
  <w:style w:type="character" w:customStyle="1" w:styleId="CharStyle11">
    <w:name w:val="Основной текст (3)_"/>
    <w:basedOn w:val="DefaultParagraphFont"/>
    <w:link w:val="Style10"/>
    <w:rPr>
      <w:rFonts w:ascii="Times New Roman" w:eastAsia="Times New Roman" w:hAnsi="Times New Roman" w:cs="Times New Roman"/>
      <w:b w:val="0"/>
      <w:bCs w:val="0"/>
      <w:i w:val="0"/>
      <w:iCs w:val="0"/>
      <w:smallCaps w:val="0"/>
      <w:strike w:val="0"/>
      <w:sz w:val="18"/>
      <w:szCs w:val="18"/>
      <w:u w:val="none"/>
    </w:rPr>
  </w:style>
  <w:style w:type="character" w:customStyle="1" w:styleId="CharStyle14">
    <w:name w:val="Основной текст (2)_"/>
    <w:basedOn w:val="DefaultParagraphFont"/>
    <w:link w:val="Style13"/>
    <w:rPr>
      <w:rFonts w:ascii="Times New Roman" w:eastAsia="Times New Roman" w:hAnsi="Times New Roman" w:cs="Times New Roman"/>
      <w:b w:val="0"/>
      <w:bCs w:val="0"/>
      <w:i w:val="0"/>
      <w:iCs w:val="0"/>
      <w:smallCaps w:val="0"/>
      <w:strike w:val="0"/>
      <w:sz w:val="28"/>
      <w:szCs w:val="28"/>
      <w:u w:val="none"/>
    </w:rPr>
  </w:style>
  <w:style w:type="character" w:customStyle="1" w:styleId="CharStyle19">
    <w:name w:val="Основной текст_"/>
    <w:basedOn w:val="DefaultParagraphFont"/>
    <w:link w:val="Style18"/>
    <w:rPr>
      <w:rFonts w:ascii="Times New Roman" w:eastAsia="Times New Roman" w:hAnsi="Times New Roman" w:cs="Times New Roman"/>
      <w:b w:val="0"/>
      <w:bCs w:val="0"/>
      <w:i/>
      <w:iCs/>
      <w:smallCaps w:val="0"/>
      <w:strike w:val="0"/>
      <w:u w:val="none"/>
    </w:rPr>
  </w:style>
  <w:style w:type="character" w:customStyle="1" w:styleId="CharStyle22">
    <w:name w:val="Заголовок №1_"/>
    <w:basedOn w:val="DefaultParagraphFont"/>
    <w:link w:val="Style21"/>
    <w:rPr>
      <w:rFonts w:ascii="Times New Roman" w:eastAsia="Times New Roman" w:hAnsi="Times New Roman" w:cs="Times New Roman"/>
      <w:b w:val="0"/>
      <w:bCs w:val="0"/>
      <w:i w:val="0"/>
      <w:iCs w:val="0"/>
      <w:smallCaps w:val="0"/>
      <w:strike w:val="0"/>
      <w:u w:val="none"/>
    </w:rPr>
  </w:style>
  <w:style w:type="character" w:customStyle="1" w:styleId="CharStyle26">
    <w:name w:val="Подпись к картинке_"/>
    <w:basedOn w:val="DefaultParagraphFont"/>
    <w:link w:val="Style25"/>
    <w:rPr>
      <w:rFonts w:ascii="Times New Roman" w:eastAsia="Times New Roman" w:hAnsi="Times New Roman" w:cs="Times New Roman"/>
      <w:b/>
      <w:bCs/>
      <w:i w:val="0"/>
      <w:iCs w:val="0"/>
      <w:smallCaps w:val="0"/>
      <w:strike w:val="0"/>
      <w:color w:val="242424"/>
      <w:sz w:val="11"/>
      <w:szCs w:val="11"/>
      <w:u w:val="none"/>
    </w:rPr>
  </w:style>
  <w:style w:type="character" w:customStyle="1" w:styleId="CharStyle34">
    <w:name w:val="Основной текст (6)_"/>
    <w:basedOn w:val="DefaultParagraphFont"/>
    <w:link w:val="Style33"/>
    <w:rPr>
      <w:rFonts w:ascii="Times New Roman" w:eastAsia="Times New Roman" w:hAnsi="Times New Roman" w:cs="Times New Roman"/>
      <w:b/>
      <w:bCs/>
      <w:i w:val="0"/>
      <w:iCs w:val="0"/>
      <w:smallCaps w:val="0"/>
      <w:strike w:val="0"/>
      <w:color w:val="EBEBEB"/>
      <w:sz w:val="12"/>
      <w:szCs w:val="12"/>
      <w:u w:val="none"/>
    </w:rPr>
  </w:style>
  <w:style w:type="character" w:customStyle="1" w:styleId="CharStyle36">
    <w:name w:val="Основной текст (4)_"/>
    <w:basedOn w:val="DefaultParagraphFont"/>
    <w:link w:val="Style35"/>
    <w:rPr>
      <w:rFonts w:ascii="Arial" w:eastAsia="Arial" w:hAnsi="Arial" w:cs="Arial"/>
      <w:b w:val="0"/>
      <w:bCs w:val="0"/>
      <w:i w:val="0"/>
      <w:iCs w:val="0"/>
      <w:smallCaps w:val="0"/>
      <w:strike w:val="0"/>
      <w:color w:val="484848"/>
      <w:sz w:val="12"/>
      <w:szCs w:val="12"/>
      <w:u w:val="none"/>
    </w:rPr>
  </w:style>
  <w:style w:type="paragraph" w:customStyle="1" w:styleId="Style2">
    <w:name w:val="Основной текст (7)"/>
    <w:basedOn w:val="Normal"/>
    <w:link w:val="CharStyle3"/>
    <w:pPr>
      <w:widowControl w:val="0"/>
      <w:shd w:val="clear" w:color="auto" w:fill="auto"/>
      <w:spacing w:after="200"/>
      <w:jc w:val="center"/>
    </w:pPr>
    <w:rPr>
      <w:rFonts w:ascii="Arial" w:eastAsia="Arial" w:hAnsi="Arial" w:cs="Arial"/>
      <w:b w:val="0"/>
      <w:bCs w:val="0"/>
      <w:i w:val="0"/>
      <w:iCs w:val="0"/>
      <w:smallCaps w:val="0"/>
      <w:strike w:val="0"/>
      <w:color w:val="4360A3"/>
      <w:sz w:val="72"/>
      <w:szCs w:val="72"/>
      <w:u w:val="single"/>
    </w:rPr>
  </w:style>
  <w:style w:type="paragraph" w:customStyle="1" w:styleId="Style4">
    <w:name w:val="Колонтитул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7">
    <w:name w:val="Основной текст (5)"/>
    <w:basedOn w:val="Normal"/>
    <w:link w:val="CharStyle8"/>
    <w:pPr>
      <w:widowControl w:val="0"/>
      <w:shd w:val="clear" w:color="auto" w:fill="auto"/>
      <w:spacing w:after="40" w:line="283" w:lineRule="auto"/>
      <w:jc w:val="center"/>
    </w:pPr>
    <w:rPr>
      <w:rFonts w:ascii="Times New Roman" w:eastAsia="Times New Roman" w:hAnsi="Times New Roman" w:cs="Times New Roman"/>
      <w:b w:val="0"/>
      <w:bCs w:val="0"/>
      <w:i w:val="0"/>
      <w:iCs w:val="0"/>
      <w:smallCaps w:val="0"/>
      <w:strike w:val="0"/>
      <w:color w:val="4360A3"/>
      <w:sz w:val="16"/>
      <w:szCs w:val="16"/>
      <w:u w:val="none"/>
    </w:rPr>
  </w:style>
  <w:style w:type="paragraph" w:customStyle="1" w:styleId="Style10">
    <w:name w:val="Основной текст (3)"/>
    <w:basedOn w:val="Normal"/>
    <w:link w:val="CharStyle11"/>
    <w:pPr>
      <w:widowControl w:val="0"/>
      <w:shd w:val="clear" w:color="auto" w:fill="auto"/>
      <w:ind w:firstLine="720"/>
    </w:pPr>
    <w:rPr>
      <w:rFonts w:ascii="Times New Roman" w:eastAsia="Times New Roman" w:hAnsi="Times New Roman" w:cs="Times New Roman"/>
      <w:b w:val="0"/>
      <w:bCs w:val="0"/>
      <w:i w:val="0"/>
      <w:iCs w:val="0"/>
      <w:smallCaps w:val="0"/>
      <w:strike w:val="0"/>
      <w:sz w:val="18"/>
      <w:szCs w:val="18"/>
      <w:u w:val="none"/>
    </w:rPr>
  </w:style>
  <w:style w:type="paragraph" w:customStyle="1" w:styleId="Style13">
    <w:name w:val="Основной текст (2)"/>
    <w:basedOn w:val="Normal"/>
    <w:link w:val="CharStyle14"/>
    <w:pPr>
      <w:widowControl w:val="0"/>
      <w:shd w:val="clear" w:color="auto" w:fill="auto"/>
      <w:spacing w:line="276" w:lineRule="auto"/>
      <w:ind w:firstLine="720"/>
    </w:pPr>
    <w:rPr>
      <w:rFonts w:ascii="Times New Roman" w:eastAsia="Times New Roman" w:hAnsi="Times New Roman" w:cs="Times New Roman"/>
      <w:b w:val="0"/>
      <w:bCs w:val="0"/>
      <w:i w:val="0"/>
      <w:iCs w:val="0"/>
      <w:smallCaps w:val="0"/>
      <w:strike w:val="0"/>
      <w:sz w:val="28"/>
      <w:szCs w:val="28"/>
      <w:u w:val="none"/>
    </w:rPr>
  </w:style>
  <w:style w:type="paragraph" w:customStyle="1" w:styleId="Style18">
    <w:name w:val="Основной текст"/>
    <w:basedOn w:val="Normal"/>
    <w:link w:val="CharStyle19"/>
    <w:pPr>
      <w:widowControl w:val="0"/>
      <w:shd w:val="clear" w:color="auto" w:fill="auto"/>
      <w:spacing w:line="276" w:lineRule="auto"/>
      <w:ind w:firstLine="400"/>
    </w:pPr>
    <w:rPr>
      <w:rFonts w:ascii="Times New Roman" w:eastAsia="Times New Roman" w:hAnsi="Times New Roman" w:cs="Times New Roman"/>
      <w:b w:val="0"/>
      <w:bCs w:val="0"/>
      <w:i/>
      <w:iCs/>
      <w:smallCaps w:val="0"/>
      <w:strike w:val="0"/>
      <w:u w:val="none"/>
    </w:rPr>
  </w:style>
  <w:style w:type="paragraph" w:customStyle="1" w:styleId="Style21">
    <w:name w:val="Заголовок №1"/>
    <w:basedOn w:val="Normal"/>
    <w:link w:val="CharStyle22"/>
    <w:pPr>
      <w:widowControl w:val="0"/>
      <w:shd w:val="clear" w:color="auto" w:fill="auto"/>
      <w:spacing w:line="257" w:lineRule="auto"/>
      <w:jc w:val="center"/>
      <w:outlineLvl w:val="0"/>
    </w:pPr>
    <w:rPr>
      <w:rFonts w:ascii="Times New Roman" w:eastAsia="Times New Roman" w:hAnsi="Times New Roman" w:cs="Times New Roman"/>
      <w:b w:val="0"/>
      <w:bCs w:val="0"/>
      <w:i w:val="0"/>
      <w:iCs w:val="0"/>
      <w:smallCaps w:val="0"/>
      <w:strike w:val="0"/>
      <w:u w:val="none"/>
    </w:rPr>
  </w:style>
  <w:style w:type="paragraph" w:customStyle="1" w:styleId="Style25">
    <w:name w:val="Подпись к картинке"/>
    <w:basedOn w:val="Normal"/>
    <w:link w:val="CharStyle26"/>
    <w:pPr>
      <w:widowControl w:val="0"/>
      <w:shd w:val="clear" w:color="auto" w:fill="auto"/>
    </w:pPr>
    <w:rPr>
      <w:rFonts w:ascii="Times New Roman" w:eastAsia="Times New Roman" w:hAnsi="Times New Roman" w:cs="Times New Roman"/>
      <w:b/>
      <w:bCs/>
      <w:i w:val="0"/>
      <w:iCs w:val="0"/>
      <w:smallCaps w:val="0"/>
      <w:strike w:val="0"/>
      <w:color w:val="242424"/>
      <w:sz w:val="11"/>
      <w:szCs w:val="11"/>
      <w:u w:val="none"/>
    </w:rPr>
  </w:style>
  <w:style w:type="paragraph" w:customStyle="1" w:styleId="Style33">
    <w:name w:val="Основной текст (6)"/>
    <w:basedOn w:val="Normal"/>
    <w:link w:val="CharStyle34"/>
    <w:pPr>
      <w:widowControl w:val="0"/>
      <w:shd w:val="clear" w:color="auto" w:fill="auto"/>
      <w:spacing w:after="80"/>
      <w:jc w:val="center"/>
    </w:pPr>
    <w:rPr>
      <w:rFonts w:ascii="Times New Roman" w:eastAsia="Times New Roman" w:hAnsi="Times New Roman" w:cs="Times New Roman"/>
      <w:b/>
      <w:bCs/>
      <w:i w:val="0"/>
      <w:iCs w:val="0"/>
      <w:smallCaps w:val="0"/>
      <w:strike w:val="0"/>
      <w:color w:val="EBEBEB"/>
      <w:sz w:val="12"/>
      <w:szCs w:val="12"/>
      <w:u w:val="none"/>
    </w:rPr>
  </w:style>
  <w:style w:type="paragraph" w:customStyle="1" w:styleId="Style35">
    <w:name w:val="Основной текст (4)"/>
    <w:basedOn w:val="Normal"/>
    <w:link w:val="CharStyle36"/>
    <w:pPr>
      <w:widowControl w:val="0"/>
      <w:shd w:val="clear" w:color="auto" w:fill="auto"/>
      <w:ind w:left="3180"/>
    </w:pPr>
    <w:rPr>
      <w:rFonts w:ascii="Arial" w:eastAsia="Arial" w:hAnsi="Arial" w:cs="Arial"/>
      <w:b w:val="0"/>
      <w:bCs w:val="0"/>
      <w:i w:val="0"/>
      <w:iCs w:val="0"/>
      <w:smallCaps w:val="0"/>
      <w:strike w:val="0"/>
      <w:color w:val="484848"/>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s>
</file>