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0" w:h="456" w:wrap="none" w:hAnchor="page" w:x="1906" w:y="1129"/>
        <w:widowControl w:val="0"/>
        <w:shd w:val="clear" w:color="auto" w:fill="auto"/>
        <w:bidi w:val="0"/>
        <w:spacing w:before="0" w:after="40" w:line="240" w:lineRule="auto"/>
        <w:ind w:left="0" w:right="0" w:firstLine="0"/>
        <w:jc w:val="center"/>
        <w:rPr>
          <w:sz w:val="17"/>
          <w:szCs w:val="17"/>
        </w:rPr>
      </w:pPr>
      <w:r>
        <w:rPr>
          <w:b/>
          <w:bCs/>
          <w:color w:val="313132"/>
          <w:spacing w:val="0"/>
          <w:w w:val="100"/>
          <w:position w:val="0"/>
          <w:sz w:val="17"/>
          <w:szCs w:val="17"/>
          <w:shd w:val="clear" w:color="auto" w:fill="auto"/>
          <w:lang w:val="ru-RU" w:eastAsia="ru-RU" w:bidi="ru-RU"/>
        </w:rPr>
        <w:t>ФЕДЕРАЛЬНАЯ</w:t>
      </w:r>
    </w:p>
    <w:p>
      <w:pPr>
        <w:pStyle w:val="Style2"/>
        <w:keepNext w:val="0"/>
        <w:keepLines w:val="0"/>
        <w:framePr w:w="2890" w:h="456" w:wrap="none" w:hAnchor="page" w:x="1906" w:y="1129"/>
        <w:widowControl w:val="0"/>
        <w:shd w:val="clear" w:color="auto" w:fill="auto"/>
        <w:bidi w:val="0"/>
        <w:spacing w:before="0" w:after="0" w:line="240" w:lineRule="auto"/>
        <w:ind w:left="0" w:right="0" w:firstLine="0"/>
        <w:jc w:val="center"/>
        <w:rPr>
          <w:sz w:val="17"/>
          <w:szCs w:val="17"/>
        </w:rPr>
      </w:pPr>
      <w:r>
        <w:rPr>
          <w:b/>
          <w:bCs/>
          <w:color w:val="313132"/>
          <w:spacing w:val="0"/>
          <w:w w:val="100"/>
          <w:position w:val="0"/>
          <w:sz w:val="17"/>
          <w:szCs w:val="17"/>
          <w:shd w:val="clear" w:color="auto" w:fill="auto"/>
          <w:lang w:val="ru-RU" w:eastAsia="ru-RU" w:bidi="ru-RU"/>
        </w:rPr>
        <w:t>АНТИМОНОПОЛЬНАЯ СЛУЖБА</w:t>
      </w:r>
    </w:p>
    <w:p>
      <w:pPr>
        <w:pStyle w:val="Style5"/>
        <w:keepNext w:val="0"/>
        <w:keepLines w:val="0"/>
        <w:framePr w:w="3542" w:h="725" w:wrap="none" w:hAnchor="page" w:x="1594" w:y="1734"/>
        <w:widowControl w:val="0"/>
        <w:shd w:val="clear" w:color="auto" w:fill="auto"/>
        <w:bidi w:val="0"/>
        <w:spacing w:before="0" w:after="0" w:line="259" w:lineRule="auto"/>
        <w:ind w:left="0" w:right="0" w:firstLine="0"/>
        <w:jc w:val="center"/>
      </w:pPr>
      <w:r>
        <w:rPr>
          <w:b/>
          <w:bCs/>
          <w:color w:val="515150"/>
          <w:spacing w:val="0"/>
          <w:w w:val="100"/>
          <w:position w:val="0"/>
          <w:shd w:val="clear" w:color="auto" w:fill="auto"/>
          <w:lang w:val="ru-RU" w:eastAsia="ru-RU" w:bidi="ru-RU"/>
        </w:rPr>
        <w:t>УПРАВЛЕНИЕ</w:t>
        <w:br/>
      </w:r>
      <w:r>
        <w:rPr>
          <w:color w:val="515150"/>
          <w:spacing w:val="0"/>
          <w:w w:val="100"/>
          <w:position w:val="0"/>
          <w:shd w:val="clear" w:color="auto" w:fill="auto"/>
          <w:lang w:val="ru-RU" w:eastAsia="ru-RU" w:bidi="ru-RU"/>
        </w:rPr>
        <w:t>Федеральной антимонопольной службы</w:t>
        <w:br/>
      </w:r>
      <w:r>
        <w:rPr>
          <w:color w:val="313132"/>
          <w:spacing w:val="0"/>
          <w:w w:val="100"/>
          <w:position w:val="0"/>
          <w:shd w:val="clear" w:color="auto" w:fill="auto"/>
          <w:lang w:val="ru-RU" w:eastAsia="ru-RU" w:bidi="ru-RU"/>
        </w:rPr>
        <w:t xml:space="preserve">по </w:t>
      </w:r>
      <w:r>
        <w:rPr>
          <w:color w:val="515150"/>
          <w:spacing w:val="0"/>
          <w:w w:val="100"/>
          <w:position w:val="0"/>
          <w:shd w:val="clear" w:color="auto" w:fill="auto"/>
          <w:lang w:val="ru-RU" w:eastAsia="ru-RU" w:bidi="ru-RU"/>
        </w:rPr>
        <w:t>Смоленской области</w:t>
      </w:r>
    </w:p>
    <w:p>
      <w:pPr>
        <w:pStyle w:val="Style10"/>
        <w:keepNext w:val="0"/>
        <w:keepLines w:val="0"/>
        <w:framePr w:w="4747" w:h="1594" w:wrap="none" w:hAnchor="page" w:x="5640" w:y="918"/>
        <w:widowControl w:val="0"/>
        <w:shd w:val="clear" w:color="auto" w:fill="auto"/>
        <w:bidi w:val="0"/>
        <w:spacing w:before="0" w:after="0" w:line="221" w:lineRule="auto"/>
        <w:ind w:left="0" w:right="0" w:firstLine="0"/>
        <w:jc w:val="left"/>
        <w:rPr>
          <w:sz w:val="24"/>
          <w:szCs w:val="24"/>
        </w:rPr>
      </w:pPr>
      <w:r>
        <w:rPr>
          <w:b/>
          <w:bCs/>
          <w:spacing w:val="0"/>
          <w:w w:val="100"/>
          <w:position w:val="0"/>
          <w:sz w:val="24"/>
          <w:szCs w:val="24"/>
          <w:shd w:val="clear" w:color="auto" w:fill="auto"/>
          <w:lang w:val="ru-RU" w:eastAsia="ru-RU" w:bidi="ru-RU"/>
        </w:rPr>
        <w:t>Аукционной комиссии,</w:t>
      </w:r>
    </w:p>
    <w:p>
      <w:pPr>
        <w:pStyle w:val="Style10"/>
        <w:keepNext w:val="0"/>
        <w:keepLines w:val="0"/>
        <w:framePr w:w="4747" w:h="1594" w:wrap="none" w:hAnchor="page" w:x="5640" w:y="918"/>
        <w:widowControl w:val="0"/>
        <w:shd w:val="clear" w:color="auto" w:fill="auto"/>
        <w:bidi w:val="0"/>
        <w:spacing w:before="0" w:after="0" w:line="221" w:lineRule="auto"/>
        <w:ind w:left="0" w:right="0" w:firstLine="0"/>
        <w:jc w:val="left"/>
        <w:rPr>
          <w:sz w:val="24"/>
          <w:szCs w:val="24"/>
        </w:rPr>
      </w:pPr>
      <w:r>
        <w:rPr>
          <w:b/>
          <w:bCs/>
          <w:spacing w:val="0"/>
          <w:w w:val="100"/>
          <w:position w:val="0"/>
          <w:sz w:val="24"/>
          <w:szCs w:val="24"/>
          <w:shd w:val="clear" w:color="auto" w:fill="auto"/>
          <w:lang w:val="ru-RU" w:eastAsia="ru-RU" w:bidi="ru-RU"/>
        </w:rPr>
        <w:t>Государственному заказчику:</w:t>
      </w:r>
    </w:p>
    <w:p>
      <w:pPr>
        <w:pStyle w:val="Style10"/>
        <w:keepNext w:val="0"/>
        <w:keepLines w:val="0"/>
        <w:framePr w:w="4747" w:h="1594" w:wrap="none" w:hAnchor="page" w:x="5640" w:y="918"/>
        <w:widowControl w:val="0"/>
        <w:shd w:val="clear" w:color="auto" w:fill="auto"/>
        <w:bidi w:val="0"/>
        <w:spacing w:before="0" w:after="0" w:line="240" w:lineRule="auto"/>
        <w:ind w:left="0" w:right="0" w:firstLine="0"/>
        <w:jc w:val="left"/>
        <w:rPr>
          <w:sz w:val="19"/>
          <w:szCs w:val="19"/>
        </w:rPr>
      </w:pPr>
      <w:r>
        <w:rPr>
          <w:spacing w:val="0"/>
          <w:w w:val="100"/>
          <w:position w:val="0"/>
          <w:sz w:val="24"/>
          <w:szCs w:val="24"/>
          <w:shd w:val="clear" w:color="auto" w:fill="auto"/>
          <w:lang w:val="ru-RU" w:eastAsia="ru-RU" w:bidi="ru-RU"/>
        </w:rPr>
        <w:t xml:space="preserve">ОГБУЗ «Смоленский областной клинический госпиталь для ветеранов войн» </w:t>
      </w:r>
      <w:r>
        <w:rPr>
          <w:spacing w:val="0"/>
          <w:w w:val="100"/>
          <w:position w:val="0"/>
          <w:sz w:val="19"/>
          <w:szCs w:val="19"/>
          <w:shd w:val="clear" w:color="auto" w:fill="auto"/>
          <w:lang w:val="ru-RU" w:eastAsia="ru-RU" w:bidi="ru-RU"/>
        </w:rPr>
        <w:t>пр-т Гагарина, д. 25, г. Смоленск, 214018 §05р_уе(@таП.ги</w:t>
      </w:r>
    </w:p>
    <w:p>
      <w:pPr>
        <w:pStyle w:val="Style2"/>
        <w:keepNext w:val="0"/>
        <w:keepLines w:val="0"/>
        <w:framePr w:w="3936" w:h="730" w:wrap="none" w:hAnchor="page" w:x="1363" w:y="2828"/>
        <w:widowControl w:val="0"/>
        <w:shd w:val="clear" w:color="auto" w:fill="auto"/>
        <w:bidi w:val="0"/>
        <w:spacing w:before="0" w:after="0"/>
        <w:ind w:left="0" w:right="0" w:firstLine="0"/>
        <w:jc w:val="center"/>
      </w:pPr>
      <w:r>
        <w:rPr>
          <w:color w:val="313132"/>
          <w:spacing w:val="0"/>
          <w:w w:val="100"/>
          <w:position w:val="0"/>
          <w:shd w:val="clear" w:color="auto" w:fill="auto"/>
          <w:lang w:val="ru-RU" w:eastAsia="ru-RU" w:bidi="ru-RU"/>
        </w:rPr>
        <w:t xml:space="preserve">ул. </w:t>
      </w:r>
      <w:r>
        <w:rPr>
          <w:color w:val="727274"/>
          <w:spacing w:val="0"/>
          <w:w w:val="100"/>
          <w:position w:val="0"/>
          <w:shd w:val="clear" w:color="auto" w:fill="auto"/>
          <w:lang w:val="ru-RU" w:eastAsia="ru-RU" w:bidi="ru-RU"/>
        </w:rPr>
        <w:t>Оклябрьсы'й</w:t>
      </w:r>
      <w:r>
        <w:rPr>
          <w:spacing w:val="0"/>
          <w:w w:val="100"/>
          <w:position w:val="0"/>
          <w:shd w:val="clear" w:color="auto" w:fill="auto"/>
          <w:lang w:val="ru-RU" w:eastAsia="ru-RU" w:bidi="ru-RU"/>
        </w:rPr>
        <w:t xml:space="preserve">Революции, </w:t>
      </w:r>
      <w:r>
        <w:rPr>
          <w:color w:val="313132"/>
          <w:spacing w:val="0"/>
          <w:w w:val="100"/>
          <w:position w:val="0"/>
          <w:shd w:val="clear" w:color="auto" w:fill="auto"/>
          <w:lang w:val="ru-RU" w:eastAsia="ru-RU" w:bidi="ru-RU"/>
        </w:rPr>
        <w:t xml:space="preserve">14а, г. </w:t>
      </w:r>
      <w:r>
        <w:rPr>
          <w:spacing w:val="0"/>
          <w:w w:val="100"/>
          <w:position w:val="0"/>
          <w:shd w:val="clear" w:color="auto" w:fill="auto"/>
          <w:lang w:val="ru-RU" w:eastAsia="ru-RU" w:bidi="ru-RU"/>
        </w:rPr>
        <w:t>Смолен</w:t>
      </w:r>
      <w:r>
        <w:rPr>
          <w:color w:val="727274"/>
          <w:spacing w:val="0"/>
          <w:w w:val="100"/>
          <w:position w:val="0"/>
          <w:shd w:val="clear" w:color="auto" w:fill="auto"/>
          <w:lang w:val="ru-RU" w:eastAsia="ru-RU" w:bidi="ru-RU"/>
        </w:rPr>
        <w:t xml:space="preserve">:к, </w:t>
      </w:r>
      <w:r>
        <w:rPr>
          <w:color w:val="313132"/>
          <w:spacing w:val="0"/>
          <w:w w:val="100"/>
          <w:position w:val="0"/>
          <w:shd w:val="clear" w:color="auto" w:fill="auto"/>
          <w:lang w:val="ru-RU" w:eastAsia="ru-RU" w:bidi="ru-RU"/>
        </w:rPr>
        <w:t>214000</w:t>
        <w:br/>
      </w:r>
      <w:r>
        <w:rPr>
          <w:spacing w:val="0"/>
          <w:w w:val="100"/>
          <w:position w:val="0"/>
          <w:shd w:val="clear" w:color="auto" w:fill="auto"/>
          <w:lang w:val="ru-RU" w:eastAsia="ru-RU" w:bidi="ru-RU"/>
        </w:rPr>
        <w:t xml:space="preserve">тел.(4812) </w:t>
      </w:r>
      <w:r>
        <w:rPr>
          <w:color w:val="313132"/>
          <w:spacing w:val="0"/>
          <w:w w:val="100"/>
          <w:position w:val="0"/>
          <w:shd w:val="clear" w:color="auto" w:fill="auto"/>
          <w:lang w:val="ru-RU" w:eastAsia="ru-RU" w:bidi="ru-RU"/>
        </w:rPr>
        <w:t xml:space="preserve">38-62-22, </w:t>
      </w:r>
      <w:r>
        <w:rPr>
          <w:spacing w:val="0"/>
          <w:w w:val="100"/>
          <w:position w:val="0"/>
          <w:shd w:val="clear" w:color="auto" w:fill="auto"/>
          <w:lang w:val="ru-RU" w:eastAsia="ru-RU" w:bidi="ru-RU"/>
        </w:rPr>
        <w:t xml:space="preserve">ф.^с (4=12) </w:t>
      </w:r>
      <w:r>
        <w:rPr>
          <w:color w:val="313132"/>
          <w:spacing w:val="0"/>
          <w:w w:val="100"/>
          <w:position w:val="0"/>
          <w:shd w:val="clear" w:color="auto" w:fill="auto"/>
          <w:lang w:val="ru-RU" w:eastAsia="ru-RU" w:bidi="ru-RU"/>
        </w:rPr>
        <w:t>38-62-22</w:t>
        <w:br/>
      </w:r>
      <w:r>
        <w:rPr>
          <w:spacing w:val="0"/>
          <w:w w:val="100"/>
          <w:position w:val="0"/>
          <w:shd w:val="clear" w:color="auto" w:fill="auto"/>
          <w:lang w:val="ru-RU" w:eastAsia="ru-RU" w:bidi="ru-RU"/>
        </w:rPr>
        <w:t>е-шаЛ: 1о67)7Г.л^от.п1</w:t>
      </w:r>
    </w:p>
    <w:p>
      <w:pPr>
        <w:pStyle w:val="Style5"/>
        <w:keepNext w:val="0"/>
        <w:keepLines w:val="0"/>
        <w:framePr w:w="4066" w:h="250" w:wrap="none" w:hAnchor="page" w:x="1277" w:y="4158"/>
        <w:widowControl w:val="0"/>
        <w:shd w:val="clear" w:color="auto" w:fill="auto"/>
        <w:bidi w:val="0"/>
        <w:spacing w:before="0" w:after="0" w:line="240" w:lineRule="auto"/>
        <w:ind w:left="0" w:right="0" w:firstLine="0"/>
        <w:jc w:val="left"/>
        <w:rPr>
          <w:sz w:val="18"/>
          <w:szCs w:val="18"/>
        </w:rPr>
      </w:pPr>
      <w:r>
        <w:rPr>
          <w:color w:val="313132"/>
          <w:spacing w:val="0"/>
          <w:w w:val="100"/>
          <w:position w:val="0"/>
          <w:sz w:val="18"/>
          <w:szCs w:val="18"/>
          <w:shd w:val="clear" w:color="auto" w:fill="auto"/>
          <w:lang w:val="ru-RU" w:eastAsia="ru-RU" w:bidi="ru-RU"/>
        </w:rPr>
        <w:t xml:space="preserve">На №  от</w:t>
      </w:r>
    </w:p>
    <w:p>
      <w:pPr>
        <w:pStyle w:val="Style10"/>
        <w:keepNext w:val="0"/>
        <w:keepLines w:val="0"/>
        <w:framePr w:w="4829" w:h="5203" w:wrap="none" w:hAnchor="page" w:x="5640" w:y="2684"/>
        <w:widowControl w:val="0"/>
        <w:shd w:val="clear" w:color="auto" w:fill="auto"/>
        <w:bidi w:val="0"/>
        <w:spacing w:before="0" w:after="0" w:line="221" w:lineRule="auto"/>
        <w:ind w:left="0" w:right="0" w:firstLine="0"/>
        <w:jc w:val="left"/>
        <w:rPr>
          <w:sz w:val="24"/>
          <w:szCs w:val="24"/>
        </w:rPr>
      </w:pPr>
      <w:r>
        <w:rPr>
          <w:b/>
          <w:bCs/>
          <w:spacing w:val="0"/>
          <w:w w:val="100"/>
          <w:position w:val="0"/>
          <w:sz w:val="24"/>
          <w:szCs w:val="24"/>
          <w:shd w:val="clear" w:color="auto" w:fill="auto"/>
          <w:lang w:val="ru-RU" w:eastAsia="ru-RU" w:bidi="ru-RU"/>
        </w:rPr>
        <w:t>Уполномоченному органу:</w:t>
      </w:r>
    </w:p>
    <w:p>
      <w:pPr>
        <w:pStyle w:val="Style10"/>
        <w:keepNext w:val="0"/>
        <w:keepLines w:val="0"/>
        <w:framePr w:w="4829" w:h="5203" w:wrap="none" w:hAnchor="page" w:x="5640" w:y="2684"/>
        <w:widowControl w:val="0"/>
        <w:shd w:val="clear" w:color="auto" w:fill="auto"/>
        <w:bidi w:val="0"/>
        <w:spacing w:before="0" w:after="180" w:line="240" w:lineRule="auto"/>
        <w:ind w:left="0" w:right="0" w:firstLine="0"/>
        <w:jc w:val="left"/>
        <w:rPr>
          <w:sz w:val="19"/>
          <w:szCs w:val="19"/>
        </w:rPr>
      </w:pPr>
      <w:r>
        <w:rPr>
          <w:spacing w:val="0"/>
          <w:w w:val="100"/>
          <w:position w:val="0"/>
          <w:sz w:val="24"/>
          <w:szCs w:val="24"/>
          <w:shd w:val="clear" w:color="auto" w:fill="auto"/>
          <w:lang w:val="ru-RU" w:eastAsia="ru-RU" w:bidi="ru-RU"/>
        </w:rPr>
        <w:t xml:space="preserve">Главному управлению Смоленской области по регулированию контрактной системы </w:t>
      </w:r>
      <w:r>
        <w:rPr>
          <w:spacing w:val="0"/>
          <w:w w:val="100"/>
          <w:position w:val="0"/>
          <w:sz w:val="19"/>
          <w:szCs w:val="19"/>
          <w:shd w:val="clear" w:color="auto" w:fill="auto"/>
          <w:lang w:val="ru-RU" w:eastAsia="ru-RU" w:bidi="ru-RU"/>
        </w:rPr>
        <w:t>пл. Ленина, 1, каб. 243, г. Смоленск, 214008 §о5хаках@а(1т1п-8то1еп5к.ги</w:t>
      </w:r>
    </w:p>
    <w:p>
      <w:pPr>
        <w:pStyle w:val="Style10"/>
        <w:keepNext w:val="0"/>
        <w:keepLines w:val="0"/>
        <w:framePr w:w="4829" w:h="5203" w:wrap="none" w:hAnchor="page" w:x="5640" w:y="2684"/>
        <w:widowControl w:val="0"/>
        <w:shd w:val="clear" w:color="auto" w:fill="auto"/>
        <w:bidi w:val="0"/>
        <w:spacing w:before="0" w:after="0" w:line="221" w:lineRule="auto"/>
        <w:ind w:left="0" w:right="0" w:firstLine="0"/>
        <w:jc w:val="left"/>
        <w:rPr>
          <w:sz w:val="24"/>
          <w:szCs w:val="24"/>
        </w:rPr>
      </w:pPr>
      <w:r>
        <w:rPr>
          <w:b/>
          <w:bCs/>
          <w:spacing w:val="0"/>
          <w:w w:val="100"/>
          <w:position w:val="0"/>
          <w:sz w:val="24"/>
          <w:szCs w:val="24"/>
          <w:shd w:val="clear" w:color="auto" w:fill="auto"/>
          <w:lang w:val="ru-RU" w:eastAsia="ru-RU" w:bidi="ru-RU"/>
        </w:rPr>
        <w:t>Заявителю:</w:t>
      </w:r>
    </w:p>
    <w:p>
      <w:pPr>
        <w:pStyle w:val="Style10"/>
        <w:keepNext w:val="0"/>
        <w:keepLines w:val="0"/>
        <w:framePr w:w="4829" w:h="5203" w:wrap="none" w:hAnchor="page" w:x="5640" w:y="2684"/>
        <w:widowControl w:val="0"/>
        <w:shd w:val="clear" w:color="auto" w:fill="auto"/>
        <w:bidi w:val="0"/>
        <w:spacing w:before="0" w:after="0" w:line="209" w:lineRule="auto"/>
        <w:ind w:left="0" w:right="0" w:firstLine="0"/>
        <w:jc w:val="left"/>
        <w:rPr>
          <w:sz w:val="24"/>
          <w:szCs w:val="24"/>
        </w:rPr>
      </w:pPr>
      <w:r>
        <w:rPr>
          <w:spacing w:val="0"/>
          <w:w w:val="100"/>
          <w:position w:val="0"/>
          <w:sz w:val="24"/>
          <w:szCs w:val="24"/>
          <w:shd w:val="clear" w:color="auto" w:fill="auto"/>
          <w:lang w:val="ru-RU" w:eastAsia="ru-RU" w:bidi="ru-RU"/>
        </w:rPr>
        <w:t>ООО «Медикал-Сервис»</w:t>
      </w:r>
    </w:p>
    <w:p>
      <w:pPr>
        <w:pStyle w:val="Style5"/>
        <w:keepNext w:val="0"/>
        <w:keepLines w:val="0"/>
        <w:framePr w:w="4829" w:h="5203" w:wrap="none" w:hAnchor="page" w:x="5640" w:y="2684"/>
        <w:widowControl w:val="0"/>
        <w:shd w:val="clear" w:color="auto" w:fill="auto"/>
        <w:bidi w:val="0"/>
        <w:spacing w:before="0" w:after="0" w:line="264" w:lineRule="auto"/>
        <w:ind w:left="0" w:right="0" w:firstLine="0"/>
        <w:jc w:val="left"/>
      </w:pPr>
      <w:r>
        <w:rPr>
          <w:spacing w:val="0"/>
          <w:w w:val="100"/>
          <w:position w:val="0"/>
          <w:shd w:val="clear" w:color="auto" w:fill="auto"/>
          <w:lang w:val="ru-RU" w:eastAsia="ru-RU" w:bidi="ru-RU"/>
        </w:rPr>
        <w:t>ул. Радищева, д. 5А, оф. 10, г. Ярославль, 150043 гакирк1@тесНса1112.ги</w:t>
      </w:r>
    </w:p>
    <w:p>
      <w:pPr>
        <w:pStyle w:val="Style5"/>
        <w:keepNext w:val="0"/>
        <w:keepLines w:val="0"/>
        <w:framePr w:w="4829" w:h="5203" w:wrap="none" w:hAnchor="page" w:x="5640" w:y="2684"/>
        <w:widowControl w:val="0"/>
        <w:shd w:val="clear" w:color="auto" w:fill="auto"/>
        <w:bidi w:val="0"/>
        <w:spacing w:before="0" w:after="180" w:line="264" w:lineRule="auto"/>
        <w:ind w:left="0" w:right="0" w:firstLine="0"/>
        <w:jc w:val="left"/>
      </w:pPr>
      <w:r>
        <w:rPr>
          <w:spacing w:val="0"/>
          <w:w w:val="100"/>
          <w:position w:val="0"/>
          <w:shd w:val="clear" w:color="auto" w:fill="auto"/>
          <w:lang w:val="ru-RU" w:eastAsia="ru-RU" w:bidi="ru-RU"/>
        </w:rPr>
        <w:t>АЬ@ тесНса1112.ги</w:t>
      </w:r>
    </w:p>
    <w:p>
      <w:pPr>
        <w:pStyle w:val="Style10"/>
        <w:keepNext w:val="0"/>
        <w:keepLines w:val="0"/>
        <w:framePr w:w="4829" w:h="5203" w:wrap="none" w:hAnchor="page" w:x="5640" w:y="2684"/>
        <w:widowControl w:val="0"/>
        <w:shd w:val="clear" w:color="auto" w:fill="auto"/>
        <w:bidi w:val="0"/>
        <w:spacing w:before="0" w:after="0" w:line="221" w:lineRule="auto"/>
        <w:ind w:left="0" w:right="0" w:firstLine="0"/>
        <w:jc w:val="left"/>
        <w:rPr>
          <w:sz w:val="24"/>
          <w:szCs w:val="24"/>
        </w:rPr>
      </w:pPr>
      <w:r>
        <w:rPr>
          <w:b/>
          <w:bCs/>
          <w:spacing w:val="0"/>
          <w:w w:val="100"/>
          <w:position w:val="0"/>
          <w:sz w:val="24"/>
          <w:szCs w:val="24"/>
          <w:shd w:val="clear" w:color="auto" w:fill="auto"/>
          <w:lang w:val="ru-RU" w:eastAsia="ru-RU" w:bidi="ru-RU"/>
        </w:rPr>
        <w:t>Электронной площадке:</w:t>
      </w:r>
    </w:p>
    <w:p>
      <w:pPr>
        <w:pStyle w:val="Style5"/>
        <w:keepNext w:val="0"/>
        <w:keepLines w:val="0"/>
        <w:framePr w:w="4829" w:h="5203" w:wrap="none" w:hAnchor="page" w:x="5640" w:y="2684"/>
        <w:widowControl w:val="0"/>
        <w:shd w:val="clear" w:color="auto" w:fill="auto"/>
        <w:bidi w:val="0"/>
        <w:spacing w:before="0" w:after="180" w:line="228" w:lineRule="auto"/>
        <w:ind w:left="0" w:right="0" w:firstLine="0"/>
        <w:jc w:val="left"/>
      </w:pPr>
      <w:r>
        <w:rPr>
          <w:spacing w:val="0"/>
          <w:w w:val="100"/>
          <w:position w:val="0"/>
          <w:sz w:val="24"/>
          <w:szCs w:val="24"/>
          <w:shd w:val="clear" w:color="auto" w:fill="auto"/>
          <w:lang w:val="ru-RU" w:eastAsia="ru-RU" w:bidi="ru-RU"/>
        </w:rPr>
        <w:t xml:space="preserve">ООО «РТС-тендер» </w:t>
      </w:r>
      <w:r>
        <w:rPr>
          <w:spacing w:val="0"/>
          <w:w w:val="100"/>
          <w:position w:val="0"/>
          <w:shd w:val="clear" w:color="auto" w:fill="auto"/>
          <w:lang w:val="ru-RU" w:eastAsia="ru-RU" w:bidi="ru-RU"/>
        </w:rPr>
        <w:t>ко@г!8-1епс1ег.ги</w:t>
      </w:r>
    </w:p>
    <w:p>
      <w:pPr>
        <w:pStyle w:val="Style10"/>
        <w:keepNext w:val="0"/>
        <w:keepLines w:val="0"/>
        <w:framePr w:w="4829" w:h="5203" w:wrap="none" w:hAnchor="page" w:x="5640" w:y="2684"/>
        <w:widowControl w:val="0"/>
        <w:shd w:val="clear" w:color="auto" w:fill="auto"/>
        <w:bidi w:val="0"/>
        <w:spacing w:before="0" w:after="0" w:line="221" w:lineRule="auto"/>
        <w:ind w:left="0" w:right="0" w:firstLine="0"/>
        <w:jc w:val="left"/>
        <w:rPr>
          <w:sz w:val="24"/>
          <w:szCs w:val="24"/>
        </w:rPr>
      </w:pPr>
      <w:r>
        <w:rPr>
          <w:b/>
          <w:bCs/>
          <w:spacing w:val="0"/>
          <w:w w:val="100"/>
          <w:position w:val="0"/>
          <w:sz w:val="24"/>
          <w:szCs w:val="24"/>
          <w:shd w:val="clear" w:color="auto" w:fill="auto"/>
          <w:lang w:val="ru-RU" w:eastAsia="ru-RU" w:bidi="ru-RU"/>
        </w:rPr>
        <w:t>Заинтересованному лицу</w:t>
      </w:r>
    </w:p>
    <w:p>
      <w:pPr>
        <w:pStyle w:val="Style10"/>
        <w:keepNext w:val="0"/>
        <w:keepLines w:val="0"/>
        <w:framePr w:w="4829" w:h="5203" w:wrap="none" w:hAnchor="page" w:x="5640" w:y="2684"/>
        <w:widowControl w:val="0"/>
        <w:shd w:val="clear" w:color="auto" w:fill="auto"/>
        <w:bidi w:val="0"/>
        <w:spacing w:before="0" w:after="0" w:line="221" w:lineRule="auto"/>
        <w:ind w:left="0" w:right="0" w:firstLine="0"/>
        <w:jc w:val="left"/>
        <w:rPr>
          <w:sz w:val="24"/>
          <w:szCs w:val="24"/>
        </w:rPr>
      </w:pPr>
      <w:r>
        <w:rPr>
          <w:b/>
          <w:bCs/>
          <w:spacing w:val="0"/>
          <w:w w:val="100"/>
          <w:position w:val="0"/>
          <w:sz w:val="24"/>
          <w:szCs w:val="24"/>
          <w:shd w:val="clear" w:color="auto" w:fill="auto"/>
          <w:lang w:val="ru-RU" w:eastAsia="ru-RU" w:bidi="ru-RU"/>
        </w:rPr>
        <w:t>(победитель закупки):</w:t>
      </w:r>
    </w:p>
    <w:p>
      <w:pPr>
        <w:pStyle w:val="Style10"/>
        <w:keepNext w:val="0"/>
        <w:keepLines w:val="0"/>
        <w:framePr w:w="4829" w:h="5203" w:wrap="none" w:hAnchor="page" w:x="5640" w:y="2684"/>
        <w:widowControl w:val="0"/>
        <w:shd w:val="clear" w:color="auto" w:fill="auto"/>
        <w:bidi w:val="0"/>
        <w:spacing w:before="0" w:after="0" w:line="209" w:lineRule="auto"/>
        <w:ind w:left="0" w:right="0" w:firstLine="0"/>
        <w:jc w:val="left"/>
        <w:rPr>
          <w:sz w:val="24"/>
          <w:szCs w:val="24"/>
        </w:rPr>
      </w:pPr>
      <w:r>
        <w:rPr>
          <w:spacing w:val="0"/>
          <w:w w:val="100"/>
          <w:position w:val="0"/>
          <w:sz w:val="24"/>
          <w:szCs w:val="24"/>
          <w:shd w:val="clear" w:color="auto" w:fill="auto"/>
          <w:lang w:val="ru-RU" w:eastAsia="ru-RU" w:bidi="ru-RU"/>
        </w:rPr>
        <w:t>ООО «Камелия»</w:t>
      </w:r>
    </w:p>
    <w:p>
      <w:pPr>
        <w:pStyle w:val="Style5"/>
        <w:keepNext w:val="0"/>
        <w:keepLines w:val="0"/>
        <w:framePr w:w="4829" w:h="5203" w:wrap="none" w:hAnchor="page" w:x="5640" w:y="2684"/>
        <w:widowControl w:val="0"/>
        <w:shd w:val="clear" w:color="auto" w:fill="auto"/>
        <w:bidi w:val="0"/>
        <w:spacing w:before="0" w:after="0" w:line="264" w:lineRule="auto"/>
        <w:ind w:left="0" w:right="0" w:firstLine="0"/>
        <w:jc w:val="left"/>
      </w:pPr>
      <w:r>
        <w:rPr>
          <w:spacing w:val="0"/>
          <w:w w:val="100"/>
          <w:position w:val="0"/>
          <w:shd w:val="clear" w:color="auto" w:fill="auto"/>
          <w:lang w:val="ru-RU" w:eastAsia="ru-RU" w:bidi="ru-RU"/>
        </w:rPr>
        <w:t>пер. Тульский, д. 10, пом. № 7, г. Смоленск, 214013 тебзпйтаП.ги</w:t>
      </w:r>
    </w:p>
    <w:p>
      <w:pPr>
        <w:pStyle w:val="Style10"/>
        <w:keepNext w:val="0"/>
        <w:keepLines w:val="0"/>
        <w:framePr w:w="8366" w:h="1306" w:wrap="none" w:hAnchor="page" w:x="2784" w:y="8084"/>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0"/>
        <w:keepNext w:val="0"/>
        <w:keepLines w:val="0"/>
        <w:framePr w:w="8366" w:h="1306" w:wrap="none" w:hAnchor="page" w:x="2784" w:y="8084"/>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по делу № 067/06/48-218/2023 о нарушении</w:t>
        <w:br/>
        <w:t>законодательства Российской Федерации о контрактной системе</w:t>
      </w:r>
    </w:p>
    <w:p>
      <w:pPr>
        <w:pStyle w:val="Style10"/>
        <w:keepNext w:val="0"/>
        <w:keepLines w:val="0"/>
        <w:framePr w:w="8366" w:h="1306" w:wrap="none" w:hAnchor="page" w:x="2784" w:y="8084"/>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Смоленск</w:t>
      </w:r>
    </w:p>
    <w:p>
      <w:pPr>
        <w:pStyle w:val="Style10"/>
        <w:keepNext w:val="0"/>
        <w:keepLines w:val="0"/>
        <w:framePr w:w="8218" w:h="2299" w:wrap="none" w:hAnchor="page" w:x="1128" w:y="9078"/>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28 апреля 2023 года</w:t>
      </w:r>
    </w:p>
    <w:p>
      <w:pPr>
        <w:pStyle w:val="Style10"/>
        <w:keepNext w:val="0"/>
        <w:keepLines w:val="0"/>
        <w:framePr w:w="8218" w:h="2299" w:wrap="none" w:hAnchor="page" w:x="1128" w:y="9078"/>
        <w:widowControl w:val="0"/>
        <w:shd w:val="clear" w:color="auto" w:fill="auto"/>
        <w:bidi w:val="0"/>
        <w:spacing w:before="0" w:after="80" w:line="240" w:lineRule="auto"/>
        <w:ind w:left="0" w:right="0" w:firstLine="820"/>
        <w:jc w:val="left"/>
      </w:pPr>
      <w:r>
        <w:rPr>
          <w:color w:val="000000"/>
          <w:spacing w:val="0"/>
          <w:w w:val="100"/>
          <w:position w:val="0"/>
          <w:shd w:val="clear" w:color="auto" w:fill="auto"/>
          <w:lang w:val="ru-RU" w:eastAsia="ru-RU" w:bidi="ru-RU"/>
        </w:rPr>
        <w:t>Комиссия Смоленского УФАС России по контролю в сфере Комиссия) в следующем составе:</w:t>
      </w:r>
    </w:p>
    <w:p>
      <w:pPr>
        <w:pStyle w:val="Style10"/>
        <w:keepNext w:val="0"/>
        <w:keepLines w:val="0"/>
        <w:framePr w:w="8218" w:h="2299" w:wrap="none" w:hAnchor="page" w:x="1128" w:y="907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p>
      <w:pPr>
        <w:pStyle w:val="Style10"/>
        <w:keepNext w:val="0"/>
        <w:keepLines w:val="0"/>
        <w:framePr w:w="8218" w:h="2299" w:wrap="none" w:hAnchor="page" w:x="1128" w:y="907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председетеля Комиссии:</w:t>
      </w:r>
    </w:p>
    <w:p>
      <w:pPr>
        <w:pStyle w:val="Style10"/>
        <w:keepNext w:val="0"/>
        <w:keepLines w:val="0"/>
        <w:framePr w:w="8218" w:h="2299" w:wrap="none" w:hAnchor="page" w:x="1128" w:y="907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w:t>
      </w:r>
    </w:p>
    <w:p>
      <w:pPr>
        <w:pStyle w:val="Style10"/>
        <w:keepNext w:val="0"/>
        <w:keepLines w:val="0"/>
        <w:framePr w:w="8218" w:h="2299" w:wrap="none" w:hAnchor="page" w:x="1128" w:y="9078"/>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председетеля Комиссии:</w:t>
      </w:r>
    </w:p>
    <w:p>
      <w:pPr>
        <w:pStyle w:val="Style10"/>
        <w:keepNext w:val="0"/>
        <w:keepLines w:val="0"/>
        <w:framePr w:w="2054" w:h="326" w:wrap="none" w:hAnchor="page" w:x="9456" w:y="945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закупок (далее </w:t>
      </w:r>
      <w:r>
        <w:rPr>
          <w:color w:val="313132"/>
          <w:spacing w:val="0"/>
          <w:w w:val="100"/>
          <w:position w:val="0"/>
          <w:shd w:val="clear" w:color="auto" w:fill="auto"/>
          <w:lang w:val="ru-RU" w:eastAsia="ru-RU" w:bidi="ru-RU"/>
        </w:rPr>
        <w:t>-</w:t>
      </w:r>
    </w:p>
    <w:p>
      <w:pPr>
        <w:pStyle w:val="Style10"/>
        <w:keepNext w:val="0"/>
        <w:keepLines w:val="0"/>
        <w:framePr w:w="1555" w:h="326" w:wrap="none" w:hAnchor="page" w:x="9523" w:y="1046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руководителя</w:t>
      </w:r>
    </w:p>
    <w:p>
      <w:pPr>
        <w:pStyle w:val="Style10"/>
        <w:keepNext w:val="0"/>
        <w:keepLines w:val="0"/>
        <w:framePr w:w="3173" w:h="1512" w:wrap="none" w:hAnchor="page" w:x="7210" w:y="10460"/>
        <w:widowControl w:val="0"/>
        <w:shd w:val="clear" w:color="auto" w:fill="auto"/>
        <w:bidi w:val="0"/>
        <w:spacing w:before="0" w:after="0" w:line="240" w:lineRule="auto"/>
        <w:ind w:left="0" w:right="0" w:firstLine="0"/>
        <w:jc w:val="left"/>
      </w:pPr>
      <w:r>
        <w:rPr>
          <w:color w:val="313132"/>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заместитель Смоленского УФАС России; - начальник закупок и контроля</w:t>
      </w:r>
    </w:p>
    <w:p>
      <w:pPr>
        <w:pStyle w:val="Style10"/>
        <w:keepNext w:val="0"/>
        <w:keepLines w:val="0"/>
        <w:framePr w:w="2261" w:h="922" w:wrap="none" w:hAnchor="page" w:x="8822" w:y="1105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отдела контроля антимонопольного</w:t>
      </w:r>
    </w:p>
    <w:p>
      <w:pPr>
        <w:pStyle w:val="Style10"/>
        <w:keepNext w:val="0"/>
        <w:keepLines w:val="0"/>
        <w:framePr w:w="2261" w:h="922" w:wrap="none" w:hAnchor="page" w:x="8822" w:y="1105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органов власти</w:t>
      </w:r>
    </w:p>
    <w:p>
      <w:pPr>
        <w:widowControl w:val="0"/>
        <w:spacing w:line="360" w:lineRule="exact"/>
      </w:pPr>
      <w:r>
        <w:drawing>
          <wp:anchor distT="0" distB="0" distL="0" distR="0" simplePos="0" relativeHeight="62914690" behindDoc="1" locked="0" layoutInCell="1" allowOverlap="1">
            <wp:simplePos x="0" y="0"/>
            <wp:positionH relativeFrom="page">
              <wp:posOffset>1873885</wp:posOffset>
            </wp:positionH>
            <wp:positionV relativeFrom="margin">
              <wp:posOffset>0</wp:posOffset>
            </wp:positionV>
            <wp:extent cx="518160" cy="62166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8160" cy="621665"/>
                    </a:xfrm>
                    <a:prstGeom prst="rect"/>
                  </pic:spPr>
                </pic:pic>
              </a:graphicData>
            </a:graphic>
          </wp:anchor>
        </w:drawing>
      </w:r>
      <w:r>
        <w:drawing>
          <wp:anchor distT="0" distB="0" distL="0" distR="0" simplePos="0" relativeHeight="62914691" behindDoc="1" locked="0" layoutInCell="1" allowOverlap="1">
            <wp:simplePos x="0" y="0"/>
            <wp:positionH relativeFrom="page">
              <wp:posOffset>807085</wp:posOffset>
            </wp:positionH>
            <wp:positionV relativeFrom="margin">
              <wp:posOffset>3096895</wp:posOffset>
            </wp:positionV>
            <wp:extent cx="194945" cy="18923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94945" cy="189230"/>
                    </a:xfrm>
                    <a:prstGeom prst="rect"/>
                  </pic:spPr>
                </pic:pic>
              </a:graphicData>
            </a:graphic>
          </wp:anchor>
        </w:drawing>
      </w:r>
      <w:r>
        <w:drawing>
          <wp:anchor distT="0" distB="0" distL="0" distR="0" simplePos="0" relativeHeight="62914692" behindDoc="1" locked="0" layoutInCell="1" allowOverlap="1">
            <wp:simplePos x="0" y="0"/>
            <wp:positionH relativeFrom="page">
              <wp:posOffset>3206115</wp:posOffset>
            </wp:positionH>
            <wp:positionV relativeFrom="margin">
              <wp:posOffset>3081655</wp:posOffset>
            </wp:positionV>
            <wp:extent cx="219710" cy="21336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219710" cy="2133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5" w:line="1" w:lineRule="exact"/>
      </w:pPr>
    </w:p>
    <w:p>
      <w:pPr>
        <w:widowControl w:val="0"/>
        <w:spacing w:line="1" w:lineRule="exact"/>
        <w:sectPr>
          <w:headerReference w:type="default" r:id="rId11"/>
          <w:footerReference w:type="default" r:id="rId12"/>
          <w:headerReference w:type="first" r:id="rId13"/>
          <w:footerReference w:type="first" r:id="rId14"/>
          <w:footnotePr>
            <w:pos w:val="pageBottom"/>
            <w:numFmt w:val="decimal"/>
            <w:numRestart w:val="continuous"/>
          </w:footnotePr>
          <w:pgSz w:w="11900" w:h="16840"/>
          <w:pgMar w:top="383" w:right="391" w:bottom="1116" w:left="868" w:header="0" w:footer="3" w:gutter="0"/>
          <w:pgNumType w:start="1"/>
          <w:cols w:space="720"/>
          <w:noEndnote/>
          <w:titlePg/>
          <w:rtlGutter w:val="0"/>
          <w:docGrid w:linePitch="360"/>
        </w:sectPr>
      </w:pPr>
    </w:p>
    <w:p>
      <w:pPr>
        <w:pStyle w:val="Style10"/>
        <w:keepNext w:val="0"/>
        <w:keepLines w:val="0"/>
        <w:widowControl w:val="0"/>
        <w:shd w:val="clear" w:color="auto" w:fill="auto"/>
        <w:bidi w:val="0"/>
        <w:spacing w:before="0" w:after="0" w:line="240" w:lineRule="auto"/>
        <w:ind w:left="6340" w:right="0" w:firstLine="0"/>
        <w:jc w:val="left"/>
      </w:pPr>
      <w:r>
        <mc:AlternateContent>
          <mc:Choice Requires="wps">
            <w:drawing>
              <wp:anchor distT="0" distB="0" distL="114300" distR="114300" simplePos="0" relativeHeight="125829378" behindDoc="0" locked="0" layoutInCell="1" allowOverlap="1">
                <wp:simplePos x="0" y="0"/>
                <wp:positionH relativeFrom="page">
                  <wp:posOffset>715645</wp:posOffset>
                </wp:positionH>
                <wp:positionV relativeFrom="paragraph">
                  <wp:posOffset>177800</wp:posOffset>
                </wp:positionV>
                <wp:extent cx="1173480" cy="204470"/>
                <wp:wrapSquare wrapText="right"/>
                <wp:docPr id="13" name="Shape 13"/>
                <a:graphic xmlns:a="http://schemas.openxmlformats.org/drawingml/2006/main">
                  <a:graphicData uri="http://schemas.microsoft.com/office/word/2010/wordprocessingShape">
                    <wps:wsp>
                      <wps:cNvSpPr txBox="1"/>
                      <wps:spPr>
                        <a:xfrm>
                          <a:ext cx="1173480" cy="2044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39" type="#_x0000_t202" style="position:absolute;margin-left:56.350000000000001pt;margin-top:14.pt;width:92.400000000000006pt;height:16.100000000000001pt;z-index:-125829375;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Смоленского УФАС России;</w:t>
      </w:r>
    </w:p>
    <w:p>
      <w:pPr>
        <w:pStyle w:val="Style10"/>
        <w:keepNext w:val="0"/>
        <w:keepLines w:val="0"/>
        <w:widowControl w:val="0"/>
        <w:shd w:val="clear" w:color="auto" w:fill="auto"/>
        <w:bidi w:val="0"/>
        <w:spacing w:before="0" w:after="0" w:line="240" w:lineRule="auto"/>
        <w:ind w:left="4060" w:right="0" w:firstLine="0"/>
        <w:jc w:val="both"/>
      </w:pPr>
      <w:r>
        <w:rPr>
          <w:color w:val="000000"/>
          <w:spacing w:val="0"/>
          <w:w w:val="100"/>
          <w:position w:val="0"/>
          <w:shd w:val="clear" w:color="auto" w:fill="auto"/>
          <w:lang w:val="ru-RU" w:eastAsia="ru-RU" w:bidi="ru-RU"/>
        </w:rPr>
        <w:t>- специалист-эксперт отдела контроля закупок и антимонопольного контроля органов власти Смоленского УФАС России;</w:t>
      </w:r>
    </w:p>
    <w:p>
      <w:pPr>
        <w:pStyle w:val="Style10"/>
        <w:keepNext w:val="0"/>
        <w:keepLines w:val="0"/>
        <w:widowControl w:val="0"/>
        <w:shd w:val="clear" w:color="auto" w:fill="auto"/>
        <w:tabs>
          <w:tab w:pos="4325" w:val="left"/>
        </w:tabs>
        <w:bidi w:val="0"/>
        <w:spacing w:before="0" w:after="320" w:line="240" w:lineRule="auto"/>
        <w:ind w:left="1080" w:right="0" w:firstLine="0"/>
        <w:jc w:val="left"/>
      </w:pPr>
      <w:r>
        <w:rPr>
          <w:color w:val="000000"/>
          <w:spacing w:val="0"/>
          <w:w w:val="100"/>
          <w:position w:val="0"/>
          <w:shd w:val="clear" w:color="auto" w:fill="auto"/>
          <w:lang w:val="ru-RU" w:eastAsia="ru-RU" w:bidi="ru-RU"/>
        </w:rPr>
        <w:t>при участии в листанттионном режиме рассмотрения жалобы представителей: - заказчика:</w:t>
        <w:tab/>
        <w:t>доверенность от 25.04.2023);</w:t>
      </w:r>
    </w:p>
    <w:p>
      <w:pPr>
        <w:pStyle w:val="Style25"/>
        <w:keepNext/>
        <w:keepLines/>
        <w:widowControl w:val="0"/>
        <w:numPr>
          <w:ilvl w:val="0"/>
          <w:numId w:val="1"/>
        </w:numPr>
        <w:shd w:val="clear" w:color="auto" w:fill="auto"/>
        <w:tabs>
          <w:tab w:pos="972" w:val="left"/>
        </w:tabs>
        <w:bidi w:val="0"/>
        <w:spacing w:before="0" w:after="0" w:line="240" w:lineRule="auto"/>
        <w:ind w:left="0" w:right="0"/>
        <w:jc w:val="left"/>
      </w:pPr>
      <w:bookmarkStart w:id="0" w:name="bookmark0"/>
      <w:r>
        <w:rPr>
          <w:spacing w:val="0"/>
          <w:w w:val="100"/>
          <w:position w:val="0"/>
          <w:shd w:val="clear" w:color="auto" w:fill="auto"/>
          <w:lang w:val="ru-RU" w:eastAsia="ru-RU" w:bidi="ru-RU"/>
        </w:rPr>
        <w:t>III 111:1.111</w:t>
      </w:r>
      <w:bookmarkEnd w:id="0"/>
      <w:r>
        <w:br w:type="page"/>
      </w:r>
    </w:p>
    <w:p>
      <w:pPr>
        <w:pStyle w:val="Style10"/>
        <w:keepNext w:val="0"/>
        <w:keepLines w:val="0"/>
        <w:widowControl w:val="0"/>
        <w:numPr>
          <w:ilvl w:val="0"/>
          <w:numId w:val="3"/>
        </w:numPr>
        <w:shd w:val="clear" w:color="auto" w:fill="auto"/>
        <w:tabs>
          <w:tab w:pos="922" w:val="left"/>
          <w:tab w:pos="5366" w:val="left"/>
        </w:tabs>
        <w:bidi w:val="0"/>
        <w:spacing w:before="0" w:after="0" w:line="240" w:lineRule="auto"/>
        <w:ind w:left="0" w:right="0" w:firstLine="720"/>
        <w:jc w:val="both"/>
      </w:pPr>
      <w:r>
        <w:rPr>
          <w:spacing w:val="0"/>
          <w:w w:val="100"/>
          <w:position w:val="0"/>
          <w:shd w:val="clear" w:color="auto" w:fill="auto"/>
          <w:lang w:val="ru-RU" w:eastAsia="ru-RU" w:bidi="ru-RU"/>
        </w:rPr>
        <w:t>уполномоченного органа:</w:t>
        <w:tab/>
        <w:t>(доверенность №6 от 25.05.2020);</w:t>
      </w:r>
    </w:p>
    <w:p>
      <w:pPr>
        <w:pStyle w:val="Style10"/>
        <w:keepNext w:val="0"/>
        <w:keepLines w:val="0"/>
        <w:widowControl w:val="0"/>
        <w:numPr>
          <w:ilvl w:val="0"/>
          <w:numId w:val="3"/>
        </w:numPr>
        <w:shd w:val="clear" w:color="auto" w:fill="auto"/>
        <w:tabs>
          <w:tab w:pos="922" w:val="left"/>
          <w:tab w:pos="3355" w:val="left"/>
        </w:tabs>
        <w:bidi w:val="0"/>
        <w:spacing w:before="0" w:after="0" w:line="240" w:lineRule="auto"/>
        <w:ind w:left="0" w:right="0" w:firstLine="720"/>
        <w:jc w:val="both"/>
      </w:pPr>
      <w:r>
        <w:rPr>
          <w:spacing w:val="0"/>
          <w:w w:val="100"/>
          <w:position w:val="0"/>
          <w:shd w:val="clear" w:color="auto" w:fill="auto"/>
          <w:lang w:val="ru-RU" w:eastAsia="ru-RU" w:bidi="ru-RU"/>
        </w:rPr>
        <w:t>заявителя:</w:t>
        <w:tab/>
        <w:t>. (доверенность от 01.06.2022);</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отсутствие представителя заинтересованного лица, уведомленного надлежащим образом о времени, дате и месте рассмотрения жалобы,</w:t>
      </w:r>
    </w:p>
    <w:p>
      <w:pPr>
        <w:pStyle w:val="Style10"/>
        <w:keepNext w:val="0"/>
        <w:keepLines w:val="0"/>
        <w:widowControl w:val="0"/>
        <w:shd w:val="clear" w:color="auto" w:fill="auto"/>
        <w:bidi w:val="0"/>
        <w:spacing w:before="0" w:after="300" w:line="240" w:lineRule="auto"/>
        <w:ind w:left="0" w:right="0" w:firstLine="720"/>
        <w:jc w:val="both"/>
      </w:pPr>
      <w:r>
        <w:rPr>
          <w:spacing w:val="0"/>
          <w:w w:val="100"/>
          <w:position w:val="0"/>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и приказом Смоленского УФАС России от 29.03.2023 № 19/23, в дистанционном режиме жалобу Общества с ограниченной ответственностью «Медикал-Сервис» (далее также Заявитель) и проведя внеплановую проверку,</w:t>
      </w:r>
    </w:p>
    <w:p>
      <w:pPr>
        <w:pStyle w:val="Style10"/>
        <w:keepNext w:val="0"/>
        <w:keepLines w:val="0"/>
        <w:widowControl w:val="0"/>
        <w:shd w:val="clear" w:color="auto" w:fill="auto"/>
        <w:bidi w:val="0"/>
        <w:spacing w:before="0" w:after="300" w:line="240" w:lineRule="auto"/>
        <w:ind w:left="0" w:right="0" w:firstLine="0"/>
        <w:jc w:val="center"/>
      </w:pPr>
      <w:r>
        <w:rPr>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Смоленское УФАС России 21.04.2023 поступила жалоба ООО «Медикал-Сервис» на неправомерные действия аукционной комиссии при проведении электронного аукциона: «Поставка системы ультразвуковой костной денситометрии для нужд ОГБУЗ «Смоленский областной клинический госпиталь для ветеранов войн» (извещение № 0163200000323002061), которые выразились в допуске участника закупки (победитель закупки), предоставившего недостоверные сведения в отношении предлагаемого к поставке товара.</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Государственным заказчиком по данному электронному аукциону является - Областное государственное бюджетное учреждение здравоохранения «Смоленский областной клинический госпиталь для ветеранов войн» (далее - Заказчик), уполномоченным органом - Главное управление Смоленской области по регулированию контрактной системы.</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Заказчик представил письменные возражения по существу жалобы, с доводами жалобы не согласился.</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На момент рассмотрения жалобы контракт Заказчиком не заключен.</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результате изучения представленных документов, рассмотрения доводов жалобы, Комиссия установила следующее.</w:t>
      </w:r>
    </w:p>
    <w:p>
      <w:pPr>
        <w:pStyle w:val="Style10"/>
        <w:keepNext w:val="0"/>
        <w:keepLines w:val="0"/>
        <w:widowControl w:val="0"/>
        <w:shd w:val="clear" w:color="auto" w:fill="auto"/>
        <w:bidi w:val="0"/>
        <w:spacing w:before="0" w:after="140" w:line="240" w:lineRule="auto"/>
        <w:ind w:left="0" w:right="0" w:firstLine="720"/>
        <w:jc w:val="both"/>
      </w:pPr>
      <w:r>
        <w:rPr>
          <w:spacing w:val="0"/>
          <w:w w:val="100"/>
          <w:position w:val="0"/>
          <w:shd w:val="clear" w:color="auto" w:fill="auto"/>
          <w:lang w:val="ru-RU" w:eastAsia="ru-RU" w:bidi="ru-RU"/>
        </w:rPr>
        <w:t xml:space="preserve">05.04.2023 уполномоченным органом на официальном сайте единой информационной системы в сфере закупок </w:t>
      </w:r>
      <w:r>
        <w:fldChar w:fldCharType="begin"/>
      </w:r>
      <w:r>
        <w:rPr/>
        <w:instrText> HYPERLINK "http://www.zakupki.gov.ru" </w:instrText>
      </w:r>
      <w:r>
        <w:fldChar w:fldCharType="separate"/>
      </w:r>
      <w:r>
        <w:rPr>
          <w:spacing w:val="0"/>
          <w:w w:val="100"/>
          <w:position w:val="0"/>
          <w:shd w:val="clear" w:color="auto" w:fill="auto"/>
          <w:lang w:val="ru-RU" w:eastAsia="ru-RU" w:bidi="ru-RU"/>
        </w:rPr>
        <w:t>уудум'.хакирк1.§оу.ги</w:t>
      </w:r>
      <w:r>
        <w:fldChar w:fldCharType="end"/>
      </w:r>
      <w:r>
        <w:rPr>
          <w:spacing w:val="0"/>
          <w:w w:val="100"/>
          <w:position w:val="0"/>
          <w:shd w:val="clear" w:color="auto" w:fill="auto"/>
          <w:lang w:val="ru-RU" w:eastAsia="ru-RU" w:bidi="ru-RU"/>
        </w:rPr>
        <w:t xml:space="preserve"> было размещено Извещение</w:t>
      </w:r>
      <w:r>
        <w:br w:type="page"/>
      </w:r>
    </w:p>
    <w:p>
      <w:pPr>
        <w:pStyle w:val="Style10"/>
        <w:keepNext w:val="0"/>
        <w:keepLines w:val="0"/>
        <w:widowControl w:val="0"/>
        <w:shd w:val="clear" w:color="auto" w:fill="auto"/>
        <w:bidi w:val="0"/>
        <w:spacing w:before="0" w:after="0" w:line="240" w:lineRule="auto"/>
        <w:ind w:left="0" w:right="0" w:firstLine="0"/>
        <w:jc w:val="both"/>
      </w:pPr>
      <w:r>
        <w:rPr>
          <w:spacing w:val="0"/>
          <w:w w:val="100"/>
          <w:position w:val="0"/>
          <w:shd w:val="clear" w:color="auto" w:fill="auto"/>
          <w:lang w:val="ru-RU" w:eastAsia="ru-RU" w:bidi="ru-RU"/>
        </w:rPr>
        <w:t>№0163200000323002061 о проведении электронного аукциона: «Поставка системы ультразвуковой костной денситометрии для нужд ОГБУЗ «Смоленский областной клинический госпиталь для ветеранов войн»».</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Начальная (максимальная) цена контракта - 1 400 000,00 рублей.</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протоколу подачи ценовых предложений от 17.04.2023 №ЦПА1 на участие в электронном аукционе заявки подали 2 (два) участника закупки, которыми были сделаны следующие ценовые предложения:</w:t>
      </w:r>
    </w:p>
    <w:p>
      <w:pPr>
        <w:pStyle w:val="Style10"/>
        <w:keepNext w:val="0"/>
        <w:keepLines w:val="0"/>
        <w:widowControl w:val="0"/>
        <w:numPr>
          <w:ilvl w:val="0"/>
          <w:numId w:val="3"/>
        </w:numPr>
        <w:shd w:val="clear" w:color="auto" w:fill="auto"/>
        <w:tabs>
          <w:tab w:pos="922" w:val="left"/>
        </w:tabs>
        <w:bidi w:val="0"/>
        <w:spacing w:before="0" w:after="0" w:line="240" w:lineRule="auto"/>
        <w:ind w:left="0" w:right="0" w:firstLine="720"/>
        <w:jc w:val="both"/>
      </w:pPr>
      <w:r>
        <w:rPr>
          <w:spacing w:val="0"/>
          <w:w w:val="100"/>
          <w:position w:val="0"/>
          <w:shd w:val="clear" w:color="auto" w:fill="auto"/>
          <w:lang w:val="ru-RU" w:eastAsia="ru-RU" w:bidi="ru-RU"/>
        </w:rPr>
        <w:t>участником с идентификационным номером заявки 114019770 — 1 393 000,00 рублей;</w:t>
      </w:r>
    </w:p>
    <w:p>
      <w:pPr>
        <w:pStyle w:val="Style10"/>
        <w:keepNext w:val="0"/>
        <w:keepLines w:val="0"/>
        <w:widowControl w:val="0"/>
        <w:numPr>
          <w:ilvl w:val="0"/>
          <w:numId w:val="3"/>
        </w:numPr>
        <w:shd w:val="clear" w:color="auto" w:fill="auto"/>
        <w:tabs>
          <w:tab w:pos="922" w:val="left"/>
        </w:tabs>
        <w:bidi w:val="0"/>
        <w:spacing w:before="0" w:after="0" w:line="240" w:lineRule="auto"/>
        <w:ind w:left="0" w:right="0" w:firstLine="720"/>
        <w:jc w:val="both"/>
      </w:pPr>
      <w:r>
        <w:rPr>
          <w:spacing w:val="0"/>
          <w:w w:val="100"/>
          <w:position w:val="0"/>
          <w:shd w:val="clear" w:color="auto" w:fill="auto"/>
          <w:lang w:val="ru-RU" w:eastAsia="ru-RU" w:bidi="ru-RU"/>
        </w:rPr>
        <w:t>участником с идентификационным номером заявки 114028458 - 1 400 000,00 рублей.</w:t>
      </w:r>
    </w:p>
    <w:p>
      <w:pPr>
        <w:pStyle w:val="Style10"/>
        <w:keepNext w:val="0"/>
        <w:keepLines w:val="0"/>
        <w:widowControl w:val="0"/>
        <w:shd w:val="clear" w:color="auto" w:fill="auto"/>
        <w:bidi w:val="0"/>
        <w:spacing w:before="0" w:after="280" w:line="240" w:lineRule="auto"/>
        <w:ind w:left="0" w:right="0" w:firstLine="720"/>
        <w:jc w:val="both"/>
      </w:pPr>
      <w:r>
        <w:rPr>
          <w:spacing w:val="0"/>
          <w:w w:val="100"/>
          <w:position w:val="0"/>
          <w:shd w:val="clear" w:color="auto" w:fill="auto"/>
          <w:lang w:val="ru-RU" w:eastAsia="ru-RU" w:bidi="ru-RU"/>
        </w:rPr>
        <w:t xml:space="preserve">Согласно протоколу подведения итогов электронного аукциона от 19.04.2023 №ИЭА1 заявка участника с идентификационным номером 114028458 отклонена от участия в закупке по следующему основанию: «Несоответствие информации </w:t>
      </w:r>
      <w:r>
        <w:rPr>
          <w:color w:val="000000"/>
          <w:spacing w:val="0"/>
          <w:w w:val="100"/>
          <w:position w:val="0"/>
          <w:shd w:val="clear" w:color="auto" w:fill="auto"/>
          <w:lang w:val="ru-RU" w:eastAsia="ru-RU" w:bidi="ru-RU"/>
        </w:rPr>
        <w:t xml:space="preserve">и </w:t>
      </w:r>
      <w:r>
        <w:rPr>
          <w:spacing w:val="0"/>
          <w:w w:val="100"/>
          <w:position w:val="0"/>
          <w:shd w:val="clear" w:color="auto" w:fill="auto"/>
          <w:lang w:val="ru-RU" w:eastAsia="ru-RU" w:bidi="ru-RU"/>
        </w:rPr>
        <w:t>документов требованиям, предусмотренным извещением об осуществлении закупки (за исключением информации и документов, предусмотренных пунктом 2 и 3 частью 6 статьи 43 Закона) (Отклонение по пункту 1 части 12 статьи 48 Закона). В пункте 25 заявки участника не соответствует заявленным требованиям количество И8В-выходов, предлагаемого к поставке товара»; победителем был признан участник с идентификационным номером 114019770 (ООО «Камелия»), с ценовым предложением - 1 393 000,00 рублей (снижение составило 0,5%).</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части 1 статьи 49 Закона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Заявка также может содержать информацию и документы, предусмотренные подпунктом «д» пункта 2 части 1 статьи 43 Закона.</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содержащая,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части 2 статьи 42 Закона извещение об осуществлении закупки, если иное не предусмотрено Законом, должно содержать следующие электронные документы:</w:t>
      </w:r>
    </w:p>
    <w:p>
      <w:pPr>
        <w:pStyle w:val="Style10"/>
        <w:keepNext w:val="0"/>
        <w:keepLines w:val="0"/>
        <w:widowControl w:val="0"/>
        <w:numPr>
          <w:ilvl w:val="0"/>
          <w:numId w:val="3"/>
        </w:numPr>
        <w:shd w:val="clear" w:color="auto" w:fill="auto"/>
        <w:tabs>
          <w:tab w:pos="927" w:val="left"/>
        </w:tabs>
        <w:bidi w:val="0"/>
        <w:spacing w:before="0" w:after="0" w:line="240" w:lineRule="auto"/>
        <w:ind w:left="0" w:right="0" w:firstLine="720"/>
        <w:jc w:val="both"/>
      </w:pPr>
      <w:r>
        <w:rPr>
          <w:spacing w:val="0"/>
          <w:w w:val="100"/>
          <w:position w:val="0"/>
          <w:shd w:val="clear" w:color="auto" w:fill="auto"/>
          <w:lang w:val="ru-RU" w:eastAsia="ru-RU" w:bidi="ru-RU"/>
        </w:rPr>
        <w:t>описание объекта закупки в соответствии со статьей 33 Закона (пункт 1);</w:t>
      </w:r>
    </w:p>
    <w:p>
      <w:pPr>
        <w:pStyle w:val="Style10"/>
        <w:keepNext w:val="0"/>
        <w:keepLines w:val="0"/>
        <w:widowControl w:val="0"/>
        <w:numPr>
          <w:ilvl w:val="0"/>
          <w:numId w:val="3"/>
        </w:numPr>
        <w:shd w:val="clear" w:color="auto" w:fill="auto"/>
        <w:tabs>
          <w:tab w:pos="927" w:val="left"/>
        </w:tabs>
        <w:bidi w:val="0"/>
        <w:spacing w:before="0" w:after="0" w:line="240" w:lineRule="auto"/>
        <w:ind w:left="0" w:right="0" w:firstLine="720"/>
        <w:jc w:val="both"/>
      </w:pPr>
      <w:r>
        <w:rPr>
          <w:spacing w:val="0"/>
          <w:w w:val="100"/>
          <w:position w:val="0"/>
          <w:shd w:val="clear" w:color="auto" w:fill="auto"/>
          <w:lang w:val="ru-RU" w:eastAsia="ru-RU" w:bidi="ru-RU"/>
        </w:rPr>
        <w:t>требования к содержанию, составу заявки на участие в закупке в соответствии с Законом и инструкцию по ее заполнению. При этом не допускается установление требований, влекущих за собой ограничение количества участников закупки (пункт 3).</w:t>
      </w:r>
    </w:p>
    <w:p>
      <w:pPr>
        <w:pStyle w:val="Style10"/>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576" w:right="465" w:bottom="1291" w:left="914" w:header="0" w:footer="3" w:gutter="0"/>
          <w:cols w:space="720"/>
          <w:noEndnote/>
          <w:rtlGutter w:val="0"/>
          <w:docGrid w:linePitch="360"/>
        </w:sectPr>
      </w:pPr>
      <w:r>
        <w:rPr>
          <w:spacing w:val="0"/>
          <w:w w:val="100"/>
          <w:position w:val="0"/>
          <w:shd w:val="clear" w:color="auto" w:fill="auto"/>
          <w:lang w:val="ru-RU" w:eastAsia="ru-RU" w:bidi="ru-RU"/>
        </w:rPr>
        <w:t xml:space="preserve">В соответствии с пунктом 2 части 1 статьи 43 Закона для участия в конкурентном </w:t>
      </w:r>
    </w:p>
    <w:p>
      <w:pPr>
        <w:pStyle w:val="Style10"/>
        <w:keepNext w:val="0"/>
        <w:keepLines w:val="0"/>
        <w:widowControl w:val="0"/>
        <w:shd w:val="clear" w:color="auto" w:fill="auto"/>
        <w:bidi w:val="0"/>
        <w:spacing w:before="0" w:after="0" w:line="240" w:lineRule="auto"/>
        <w:ind w:left="0" w:right="0" w:firstLine="0"/>
        <w:jc w:val="both"/>
      </w:pPr>
      <w:r>
        <w:rPr>
          <w:spacing w:val="0"/>
          <w:w w:val="100"/>
          <w:position w:val="0"/>
          <w:shd w:val="clear" w:color="auto" w:fill="auto"/>
          <w:lang w:val="ru-RU" w:eastAsia="ru-RU" w:bidi="ru-RU"/>
        </w:rPr>
        <w:t>способе заявка на участие в закупке, если иное не предусмотрено Законом, должна содержать предложение участника закупки в отношении объекта закупки:</w:t>
      </w:r>
    </w:p>
    <w:p>
      <w:pPr>
        <w:pStyle w:val="Style10"/>
        <w:keepNext w:val="0"/>
        <w:keepLines w:val="0"/>
        <w:widowControl w:val="0"/>
        <w:numPr>
          <w:ilvl w:val="0"/>
          <w:numId w:val="5"/>
        </w:numPr>
        <w:shd w:val="clear" w:color="auto" w:fill="auto"/>
        <w:tabs>
          <w:tab w:pos="1281" w:val="left"/>
        </w:tabs>
        <w:bidi w:val="0"/>
        <w:spacing w:before="0" w:after="0" w:line="240" w:lineRule="auto"/>
        <w:ind w:left="220" w:right="0" w:firstLine="720"/>
        <w:jc w:val="both"/>
      </w:pPr>
      <w:r>
        <w:rPr>
          <w:spacing w:val="0"/>
          <w:w w:val="100"/>
          <w:position w:val="0"/>
          <w:shd w:val="clear" w:color="auto" w:fill="auto"/>
          <w:lang w:val="ru-RU" w:eastAsia="ru-RU" w:bidi="ru-RU"/>
        </w:rPr>
        <w:t>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pPr>
        <w:pStyle w:val="Style10"/>
        <w:keepNext w:val="0"/>
        <w:keepLines w:val="0"/>
        <w:widowControl w:val="0"/>
        <w:numPr>
          <w:ilvl w:val="0"/>
          <w:numId w:val="5"/>
        </w:numPr>
        <w:shd w:val="clear" w:color="auto" w:fill="auto"/>
        <w:tabs>
          <w:tab w:pos="1282" w:val="left"/>
        </w:tabs>
        <w:bidi w:val="0"/>
        <w:spacing w:before="0" w:after="0" w:line="240" w:lineRule="auto"/>
        <w:ind w:left="220" w:right="0" w:firstLine="720"/>
        <w:jc w:val="both"/>
      </w:pPr>
      <w:r>
        <w:rPr>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pPr>
        <w:pStyle w:val="Style10"/>
        <w:keepNext w:val="0"/>
        <w:keepLines w:val="0"/>
        <w:widowControl w:val="0"/>
        <w:numPr>
          <w:ilvl w:val="0"/>
          <w:numId w:val="5"/>
        </w:numPr>
        <w:shd w:val="clear" w:color="auto" w:fill="auto"/>
        <w:tabs>
          <w:tab w:pos="1281" w:val="left"/>
        </w:tabs>
        <w:bidi w:val="0"/>
        <w:spacing w:before="0" w:after="0" w:line="240" w:lineRule="auto"/>
        <w:ind w:left="220" w:right="0" w:firstLine="720"/>
        <w:jc w:val="both"/>
      </w:pPr>
      <w:r>
        <w:rPr>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0"/>
        <w:keepNext w:val="0"/>
        <w:keepLines w:val="0"/>
        <w:widowControl w:val="0"/>
        <w:shd w:val="clear" w:color="auto" w:fill="auto"/>
        <w:bidi w:val="0"/>
        <w:spacing w:before="0" w:after="0" w:line="240" w:lineRule="auto"/>
        <w:ind w:left="220" w:right="0" w:firstLine="720"/>
        <w:jc w:val="both"/>
      </w:pPr>
      <w:r>
        <w:rPr>
          <w:spacing w:val="0"/>
          <w:w w:val="100"/>
          <w:position w:val="0"/>
          <w:shd w:val="clear" w:color="auto" w:fill="auto"/>
          <w:lang w:val="ru-RU" w:eastAsia="ru-RU" w:bidi="ru-RU"/>
        </w:rPr>
        <w:t>Согласно пункту 1 части 2 статьи 43 Закона при формировании предложения участника закупки в отношении объекта закупки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0"/>
        <w:keepNext w:val="0"/>
        <w:keepLines w:val="0"/>
        <w:widowControl w:val="0"/>
        <w:shd w:val="clear" w:color="auto" w:fill="auto"/>
        <w:bidi w:val="0"/>
        <w:spacing w:before="0" w:after="0" w:line="240" w:lineRule="auto"/>
        <w:ind w:left="220" w:right="0" w:firstLine="720"/>
        <w:jc w:val="both"/>
      </w:pPr>
      <w:r>
        <w:rPr>
          <w:spacing w:val="0"/>
          <w:w w:val="100"/>
          <w:position w:val="0"/>
          <w:shd w:val="clear" w:color="auto" w:fill="auto"/>
          <w:lang w:val="ru-RU" w:eastAsia="ru-RU" w:bidi="ru-RU"/>
        </w:rPr>
        <w:t>В соответствии с частью 3 статьи 43 Закона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pPr>
        <w:pStyle w:val="Style10"/>
        <w:keepNext w:val="0"/>
        <w:keepLines w:val="0"/>
        <w:widowControl w:val="0"/>
        <w:shd w:val="clear" w:color="auto" w:fill="auto"/>
        <w:bidi w:val="0"/>
        <w:spacing w:before="0" w:after="0" w:line="240" w:lineRule="auto"/>
        <w:ind w:left="0" w:right="0" w:firstLine="940"/>
        <w:jc w:val="both"/>
      </w:pPr>
      <w:r>
        <w:rPr>
          <w:spacing w:val="0"/>
          <w:w w:val="100"/>
          <w:position w:val="0"/>
          <w:shd w:val="clear" w:color="auto" w:fill="auto"/>
          <w:lang w:val="ru-RU" w:eastAsia="ru-RU" w:bidi="ru-RU"/>
        </w:rPr>
        <w:t xml:space="preserve">Согласно части 5 статьи 43 Закона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w:t>
      </w:r>
      <w:r>
        <w:rPr>
          <w:color w:val="51515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закупки, документацией о закупке (в случае, если Законом предусмотрена документация о закупке), и в соответствии с заявкой такого участника закупки на участие в закупке.</w:t>
      </w:r>
    </w:p>
    <w:p>
      <w:pPr>
        <w:pStyle w:val="Style10"/>
        <w:keepNext w:val="0"/>
        <w:keepLines w:val="0"/>
        <w:widowControl w:val="0"/>
        <w:shd w:val="clear" w:color="auto" w:fill="auto"/>
        <w:bidi w:val="0"/>
        <w:spacing w:before="0" w:after="0" w:line="240" w:lineRule="auto"/>
        <w:ind w:left="220" w:right="0" w:firstLine="720"/>
        <w:jc w:val="both"/>
      </w:pPr>
      <w:r>
        <w:rPr>
          <w:spacing w:val="0"/>
          <w:w w:val="100"/>
          <w:position w:val="0"/>
          <w:shd w:val="clear" w:color="auto" w:fill="auto"/>
          <w:lang w:val="ru-RU" w:eastAsia="ru-RU" w:bidi="ru-RU"/>
        </w:rPr>
        <w:t>В соответствии с пунктом 4 части 4 статьи 49 Закона не позднее одного часа с момента завершения процедуры подачи ценовых предложений оператор электронной площадки направляет заказчику протокол, предусмотренный пунктом 2 настоящей части, заявки на участие в закупке, а также предусмотренные пунктами 2 и 3 части 6 статьи 43 Закона информацию и документы участников закупки, подавших такие заявки.</w:t>
      </w:r>
    </w:p>
    <w:p>
      <w:pPr>
        <w:pStyle w:val="Style10"/>
        <w:keepNext w:val="0"/>
        <w:keepLines w:val="0"/>
        <w:widowControl w:val="0"/>
        <w:shd w:val="clear" w:color="auto" w:fill="auto"/>
        <w:bidi w:val="0"/>
        <w:spacing w:before="0" w:after="0" w:line="240" w:lineRule="auto"/>
        <w:ind w:left="220" w:right="0" w:firstLine="720"/>
        <w:jc w:val="both"/>
      </w:pPr>
      <w:r>
        <w:rPr>
          <w:spacing w:val="0"/>
          <w:w w:val="100"/>
          <w:position w:val="0"/>
          <w:shd w:val="clear" w:color="auto" w:fill="auto"/>
          <w:lang w:val="ru-RU" w:eastAsia="ru-RU" w:bidi="ru-RU"/>
        </w:rPr>
        <w:t>Согласно части 17 статьи 24.2 Закона ответственность за недостоверность информации и (или) документов, направленных оператору электронной площадки, оператору специализированной электронной площадки в соответствии с настоящей статьей,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части 5 статьи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(подпункт «а»);</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данного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данной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данной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Заявке на участие в закупке победителя определения поставщика (подрядчика, исполнителя) присваивается первый номер (подпункт «б»).</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Случаи, по которым участникам закупки может быть отказано в допуске в участии в закупке закреплены в части 12 статьи 48 Закона.</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частности, согласно части 12 статьи 48 Закона при рассмотрении вторых частей заявок на участие в закупке соответствующая заявка подлежит отклонению в случаях:</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непредставления (за исключением случаев, предусмотренных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(за исключением информации и документов, предусмотренных пунктами 2 и 3 части 6 статьи 43 Закона), несоответствия таких информации и документов требованиям, установленным в извещении об осуществлении закупки (пункт 1);</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Закона, несоответствия таких информации и документов требованиям, установленным в извещении об осуществлении закупки (пункт 2);</w:t>
      </w:r>
    </w:p>
    <w:p>
      <w:pPr>
        <w:pStyle w:val="Style10"/>
        <w:keepNext w:val="0"/>
        <w:keepLines w:val="0"/>
        <w:widowControl w:val="0"/>
        <w:numPr>
          <w:ilvl w:val="0"/>
          <w:numId w:val="7"/>
        </w:numPr>
        <w:shd w:val="clear" w:color="auto" w:fill="auto"/>
        <w:tabs>
          <w:tab w:pos="1738" w:val="left"/>
        </w:tabs>
        <w:bidi w:val="0"/>
        <w:spacing w:before="0" w:after="0" w:line="240" w:lineRule="auto"/>
        <w:ind w:left="0" w:right="0" w:firstLine="720"/>
        <w:jc w:val="both"/>
      </w:pPr>
      <w:r>
        <w:rPr>
          <w:spacing w:val="0"/>
          <w:w w:val="100"/>
          <w:position w:val="0"/>
          <w:shd w:val="clear" w:color="auto" w:fill="auto"/>
          <w:lang w:val="ru-RU" w:eastAsia="ru-RU" w:bidi="ru-RU"/>
        </w:rPr>
        <w:t>предусмотренных частью 6 статьи 45 закона (пункт 7);</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выявления недостоверной информации, содержащейся в заявке на участие в закупке (пункт 8).</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При этом, Закон не обязывает комиссию, при рассмотрении заявок участников закупки, проверять сведения из такой заявки на достоверность.</w:t>
      </w:r>
    </w:p>
    <w:p>
      <w:pPr>
        <w:pStyle w:val="Style10"/>
        <w:keepNext w:val="0"/>
        <w:keepLines w:val="0"/>
        <w:widowControl w:val="0"/>
        <w:shd w:val="clear" w:color="auto" w:fill="auto"/>
        <w:bidi w:val="0"/>
        <w:spacing w:before="0" w:after="320" w:line="240" w:lineRule="auto"/>
        <w:ind w:left="0" w:right="0" w:firstLine="720"/>
        <w:jc w:val="both"/>
      </w:pPr>
      <w:r>
        <w:rPr>
          <w:spacing w:val="0"/>
          <w:w w:val="100"/>
          <w:position w:val="0"/>
          <w:shd w:val="clear" w:color="auto" w:fill="auto"/>
          <w:lang w:val="ru-RU" w:eastAsia="ru-RU" w:bidi="ru-RU"/>
        </w:rPr>
        <w:t xml:space="preserve">В соответствии с пунктом 2 части 5 статьи 49 Закона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w:t>
      </w:r>
      <w:r>
        <w:rPr>
          <w:spacing w:val="0"/>
          <w:w w:val="100"/>
          <w:position w:val="0"/>
          <w:shd w:val="clear" w:color="auto" w:fill="auto"/>
          <w:lang w:val="ru-RU" w:eastAsia="ru-RU" w:bidi="ru-RU"/>
        </w:rPr>
        <w:t>лица, имеющего право действовать от имени заказчика, и направляет оператору электронной площадки.</w:t>
      </w:r>
    </w:p>
    <w:p>
      <w:pPr>
        <w:pStyle w:val="Style10"/>
        <w:keepNext w:val="0"/>
        <w:keepLines w:val="0"/>
        <w:widowControl w:val="0"/>
        <w:shd w:val="clear" w:color="auto" w:fill="auto"/>
        <w:bidi w:val="0"/>
        <w:spacing w:before="0" w:after="0" w:line="233" w:lineRule="auto"/>
        <w:ind w:left="0" w:right="0" w:firstLine="720"/>
        <w:jc w:val="both"/>
      </w:pPr>
      <w:r>
        <w:rPr>
          <w:spacing w:val="0"/>
          <w:w w:val="100"/>
          <w:position w:val="0"/>
          <w:shd w:val="clear" w:color="auto" w:fill="auto"/>
          <w:lang w:val="ru-RU" w:eastAsia="ru-RU" w:bidi="ru-RU"/>
        </w:rPr>
        <w:t>Объектом закупки является поставка системы ультразвуковой костной денситометрии для нужд ОГБУЗ «Смоленский областной клинический госпиталь для ветеранов войн».</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Описание объекта закупки и требования к содержанию, составу заявки на участие в закупке содержатся в Техническом задании Извещения о проведении электронного аукциона (далее - Техническое задание); в соответствии с Техническим заданием, Заказчиком закупается медицинское изделие без указания на товарный знак.</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пункту 2.1 Требований к содержанию, составу заявки на участие в закупке предложение участника закупки в отношении объекта закупки должно содержать характеристики предлагаемого участником закупки товара (в том числе поставляемого заказчику при выполнении закупаемых работ, оказании закупаемых услуг), соответствующие показателям, установленным в описании объекта закупки, товарный знак (при наличии у товара товарного знака). Информация о товаре,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 xml:space="preserve">В соответствии с пунктом 3.1 Требований к содержанию, составу заявки на участие </w:t>
      </w:r>
      <w:r>
        <w:rPr>
          <w:color w:val="000000"/>
          <w:spacing w:val="0"/>
          <w:w w:val="100"/>
          <w:position w:val="0"/>
          <w:shd w:val="clear" w:color="auto" w:fill="auto"/>
          <w:lang w:val="ru-RU" w:eastAsia="ru-RU" w:bidi="ru-RU"/>
        </w:rPr>
        <w:t xml:space="preserve">в </w:t>
      </w:r>
      <w:r>
        <w:rPr>
          <w:spacing w:val="0"/>
          <w:w w:val="100"/>
          <w:position w:val="0"/>
          <w:shd w:val="clear" w:color="auto" w:fill="auto"/>
          <w:lang w:val="ru-RU" w:eastAsia="ru-RU" w:bidi="ru-RU"/>
        </w:rPr>
        <w:t>закупке заявка участника закупки должна содержать информацию и документы, предусмотренные нормативными правовыми актами, принятыми в соответствии с частями 3 и 4 статьи 14 Законом:</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установлены ограничения в соответствии с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 16.09.2016 № 925 и признании утратившими силу некоторых актов Правительства Российской Федерации»;</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документы, подтверждающие соответствие участника аукциона в электронной форме и (или) предлагаемых им товара, условиям, запретам и ограничениям, установленным заказчиком в соответствии со статьей 14 Закона, или копии этих документов:</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номер реестровой записи из единого реестра российской радиоэлектронной продукции,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w:t>
        <w:br w:type="page"/>
      </w:r>
      <w:r>
        <w:rPr>
          <w:spacing w:val="0"/>
          <w:w w:val="100"/>
          <w:position w:val="0"/>
          <w:shd w:val="clear" w:color="auto" w:fill="auto"/>
          <w:lang w:val="ru-RU" w:eastAsia="ru-RU" w:bidi="ru-RU"/>
        </w:rPr>
        <w:t>такое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соответствии с Инструкцией по заполнению заявки на участие в электронном аукционе:</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 (пункт 3);</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характеристики предлагаемого участником закупки товара (в том числе поставляемого заказчику при выполнении закупаемых работ, оказании закупаемых услуг, должны соответствовать показателям, установленным в описании объекта закупки, товарный знак (при наличии у товара товарного знака) (пункт 7);</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участником закупки в заявке устанавливаются характеристики и показатели товара, подлежащие указанию в заявке, соответствующие значениям, установленным в описании объекта закупки (пункт 8);</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при подаче сведений относительно предложенного товара участником закупки должны применяться обозначения (характеристики и показатели товара, подлежащие указанию в заявке) в соответствии с обозначениями, установленными в описании объекта закупки (пункт 9);</w:t>
      </w:r>
    </w:p>
    <w:p>
      <w:pPr>
        <w:pStyle w:val="Style10"/>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spacing w:val="0"/>
          <w:w w:val="100"/>
          <w:position w:val="0"/>
          <w:shd w:val="clear" w:color="auto" w:fill="auto"/>
          <w:lang w:val="ru-RU" w:eastAsia="ru-RU" w:bidi="ru-RU"/>
        </w:rPr>
        <w:t>ответственность за достоверность сведений, указанных в заявке, несет участник закупки (пункт 10).</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Как указано выше, аукционная комиссия при рассмотрении заявок участников закупки осуществляет проверку представленных оператором электронной площадки документов и сведений, приложенных в составе заявки, на их соответствие требованиям Извещения об осуществлении закупки, в том числе Техническому заданию.</w:t>
      </w:r>
    </w:p>
    <w:p>
      <w:pPr>
        <w:pStyle w:val="Style10"/>
        <w:keepNext w:val="0"/>
        <w:keepLines w:val="0"/>
        <w:widowControl w:val="0"/>
        <w:shd w:val="clear" w:color="auto" w:fill="auto"/>
        <w:tabs>
          <w:tab w:leader="underscore" w:pos="9936" w:val="left"/>
        </w:tabs>
        <w:bidi w:val="0"/>
        <w:spacing w:before="0" w:after="0" w:line="240" w:lineRule="auto"/>
        <w:ind w:left="0" w:right="0" w:firstLine="720"/>
        <w:jc w:val="both"/>
      </w:pPr>
      <w:r>
        <w:rPr>
          <w:spacing w:val="0"/>
          <w:w w:val="100"/>
          <w:position w:val="0"/>
          <w:shd w:val="clear" w:color="auto" w:fill="auto"/>
          <w:lang w:val="ru-RU" w:eastAsia="ru-RU" w:bidi="ru-RU"/>
        </w:rPr>
        <w:t xml:space="preserve">В соответствии с Техническим заданием Заказчиком закупается «Система ультразвуковой костной денситометрии» (код КТРУ: 26.60.12.132-00000001) со </w:t>
      </w:r>
      <w:r>
        <w:rPr>
          <w:spacing w:val="0"/>
          <w:w w:val="100"/>
          <w:position w:val="0"/>
          <w:u w:val="single"/>
          <w:shd w:val="clear" w:color="auto" w:fill="auto"/>
          <w:lang w:val="ru-RU" w:eastAsia="ru-RU" w:bidi="ru-RU"/>
        </w:rPr>
        <w:t>следующими характеристиками:</w:t>
      </w:r>
      <w:r>
        <w:rPr>
          <w:spacing w:val="0"/>
          <w:w w:val="100"/>
          <w:position w:val="0"/>
          <w:shd w:val="clear" w:color="auto" w:fill="auto"/>
          <w:lang w:val="ru-RU" w:eastAsia="ru-RU" w:bidi="ru-RU"/>
        </w:rPr>
        <w:tab/>
      </w:r>
    </w:p>
    <w:tbl>
      <w:tblPr>
        <w:tblOverlap w:val="never"/>
        <w:jc w:val="center"/>
        <w:tblLayout w:type="fixed"/>
      </w:tblPr>
      <w:tblGrid>
        <w:gridCol w:w="432"/>
        <w:gridCol w:w="3696"/>
        <w:gridCol w:w="566"/>
        <w:gridCol w:w="5237"/>
      </w:tblGrid>
      <w:tr>
        <w:trPr>
          <w:trHeight w:val="2731"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w:t>
            </w:r>
          </w:p>
        </w:tc>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 xml:space="preserve">Описание по </w:t>
            </w:r>
            <w:r>
              <w:rPr>
                <w:color w:val="000000"/>
                <w:spacing w:val="0"/>
                <w:w w:val="100"/>
                <w:position w:val="0"/>
                <w:sz w:val="16"/>
                <w:szCs w:val="16"/>
                <w:shd w:val="clear" w:color="auto" w:fill="auto"/>
                <w:lang w:val="ru-RU" w:eastAsia="ru-RU" w:bidi="ru-RU"/>
              </w:rPr>
              <w:t>КТРУ</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76" w:lineRule="auto"/>
              <w:ind w:left="0" w:right="0" w:firstLine="0"/>
              <w:jc w:val="center"/>
              <w:rPr>
                <w:sz w:val="16"/>
                <w:szCs w:val="16"/>
              </w:rPr>
            </w:pPr>
            <w:r>
              <w:rPr>
                <w:color w:val="313132"/>
                <w:spacing w:val="0"/>
                <w:w w:val="100"/>
                <w:position w:val="0"/>
                <w:sz w:val="16"/>
                <w:szCs w:val="16"/>
                <w:shd w:val="clear" w:color="auto" w:fill="auto"/>
                <w:lang w:val="ru-RU" w:eastAsia="ru-RU" w:bidi="ru-RU"/>
              </w:rPr>
              <w:t xml:space="preserve">Комплект изделий, используемых для проведения измерения плотности кости </w:t>
            </w:r>
            <w:r>
              <w:rPr>
                <w:color w:val="000000"/>
                <w:spacing w:val="0"/>
                <w:w w:val="100"/>
                <w:position w:val="0"/>
                <w:sz w:val="16"/>
                <w:szCs w:val="16"/>
                <w:shd w:val="clear" w:color="auto" w:fill="auto"/>
                <w:lang w:val="ru-RU" w:eastAsia="ru-RU" w:bidi="ru-RU"/>
              </w:rPr>
              <w:t xml:space="preserve">и </w:t>
            </w:r>
            <w:r>
              <w:rPr>
                <w:color w:val="313132"/>
                <w:spacing w:val="0"/>
                <w:w w:val="100"/>
                <w:position w:val="0"/>
                <w:sz w:val="16"/>
                <w:szCs w:val="16"/>
                <w:shd w:val="clear" w:color="auto" w:fill="auto"/>
                <w:lang w:val="ru-RU" w:eastAsia="ru-RU" w:bidi="ru-RU"/>
              </w:rPr>
              <w:t xml:space="preserve">прочих расчетов </w:t>
            </w:r>
            <w:r>
              <w:rPr>
                <w:color w:val="000000"/>
                <w:spacing w:val="0"/>
                <w:w w:val="100"/>
                <w:position w:val="0"/>
                <w:sz w:val="16"/>
                <w:szCs w:val="16"/>
                <w:shd w:val="clear" w:color="auto" w:fill="auto"/>
                <w:lang w:val="ru-RU" w:eastAsia="ru-RU" w:bidi="ru-RU"/>
              </w:rPr>
              <w:t xml:space="preserve">на </w:t>
            </w:r>
            <w:r>
              <w:rPr>
                <w:color w:val="313132"/>
                <w:spacing w:val="0"/>
                <w:w w:val="100"/>
                <w:position w:val="0"/>
                <w:sz w:val="16"/>
                <w:szCs w:val="16"/>
                <w:shd w:val="clear" w:color="auto" w:fill="auto"/>
                <w:lang w:val="ru-RU" w:eastAsia="ru-RU" w:bidi="ru-RU"/>
              </w:rPr>
              <w:t xml:space="preserve">основании данных, полученных от передаваемых </w:t>
            </w:r>
            <w:r>
              <w:rPr>
                <w:color w:val="000000"/>
                <w:spacing w:val="0"/>
                <w:w w:val="100"/>
                <w:position w:val="0"/>
                <w:sz w:val="16"/>
                <w:szCs w:val="16"/>
                <w:shd w:val="clear" w:color="auto" w:fill="auto"/>
                <w:lang w:val="ru-RU" w:eastAsia="ru-RU" w:bidi="ru-RU"/>
              </w:rPr>
              <w:t xml:space="preserve">и </w:t>
            </w:r>
            <w:r>
              <w:rPr>
                <w:color w:val="313132"/>
                <w:spacing w:val="0"/>
                <w:w w:val="100"/>
                <w:position w:val="0"/>
                <w:sz w:val="16"/>
                <w:szCs w:val="16"/>
                <w:shd w:val="clear" w:color="auto" w:fill="auto"/>
                <w:lang w:val="ru-RU" w:eastAsia="ru-RU" w:bidi="ru-RU"/>
              </w:rPr>
              <w:t xml:space="preserve">отражаемых ультразвуковых волн. Изделие также называется костным денситометром </w:t>
            </w:r>
            <w:r>
              <w:rPr>
                <w:color w:val="000000"/>
                <w:spacing w:val="0"/>
                <w:w w:val="100"/>
                <w:position w:val="0"/>
                <w:sz w:val="16"/>
                <w:szCs w:val="16"/>
                <w:shd w:val="clear" w:color="auto" w:fill="auto"/>
                <w:lang w:val="ru-RU" w:eastAsia="ru-RU" w:bidi="ru-RU"/>
              </w:rPr>
              <w:t xml:space="preserve">и </w:t>
            </w:r>
            <w:r>
              <w:rPr>
                <w:color w:val="313132"/>
                <w:spacing w:val="0"/>
                <w:w w:val="100"/>
                <w:position w:val="0"/>
                <w:sz w:val="16"/>
                <w:szCs w:val="16"/>
                <w:shd w:val="clear" w:color="auto" w:fill="auto"/>
                <w:lang w:val="ru-RU" w:eastAsia="ru-RU" w:bidi="ru-RU"/>
              </w:rPr>
              <w:t xml:space="preserve">имеет встроенный ультразвуковой датчик для доставки ультразвукового луча </w:t>
            </w:r>
            <w:r>
              <w:rPr>
                <w:color w:val="000000"/>
                <w:spacing w:val="0"/>
                <w:w w:val="100"/>
                <w:position w:val="0"/>
                <w:sz w:val="16"/>
                <w:szCs w:val="16"/>
                <w:shd w:val="clear" w:color="auto" w:fill="auto"/>
                <w:lang w:val="ru-RU" w:eastAsia="ru-RU" w:bidi="ru-RU"/>
              </w:rPr>
              <w:t xml:space="preserve">к </w:t>
            </w:r>
            <w:r>
              <w:rPr>
                <w:color w:val="313132"/>
                <w:spacing w:val="0"/>
                <w:w w:val="100"/>
                <w:position w:val="0"/>
                <w:sz w:val="16"/>
                <w:szCs w:val="16"/>
                <w:shd w:val="clear" w:color="auto" w:fill="auto"/>
                <w:lang w:val="ru-RU" w:eastAsia="ru-RU" w:bidi="ru-RU"/>
              </w:rPr>
              <w:t>желаемой анатомической области.</w:t>
            </w:r>
          </w:p>
          <w:p>
            <w:pPr>
              <w:pStyle w:val="Style32"/>
              <w:keepNext w:val="0"/>
              <w:keepLines w:val="0"/>
              <w:widowControl w:val="0"/>
              <w:shd w:val="clear" w:color="auto" w:fill="auto"/>
              <w:bidi w:val="0"/>
              <w:spacing w:before="0" w:after="0" w:line="276" w:lineRule="auto"/>
              <w:ind w:left="0" w:right="0" w:firstLine="0"/>
              <w:jc w:val="center"/>
              <w:rPr>
                <w:sz w:val="16"/>
                <w:szCs w:val="16"/>
              </w:rPr>
            </w:pPr>
            <w:r>
              <w:rPr>
                <w:color w:val="313132"/>
                <w:spacing w:val="0"/>
                <w:w w:val="100"/>
                <w:position w:val="0"/>
                <w:sz w:val="16"/>
                <w:szCs w:val="16"/>
                <w:shd w:val="clear" w:color="auto" w:fill="auto"/>
                <w:lang w:val="ru-RU" w:eastAsia="ru-RU" w:bidi="ru-RU"/>
              </w:rPr>
              <w:t xml:space="preserve">Информация, полученная в результате детекции </w:t>
            </w:r>
            <w:r>
              <w:rPr>
                <w:color w:val="000000"/>
                <w:spacing w:val="0"/>
                <w:w w:val="100"/>
                <w:position w:val="0"/>
                <w:sz w:val="16"/>
                <w:szCs w:val="16"/>
                <w:shd w:val="clear" w:color="auto" w:fill="auto"/>
                <w:lang w:val="ru-RU" w:eastAsia="ru-RU" w:bidi="ru-RU"/>
              </w:rPr>
              <w:t xml:space="preserve">и </w:t>
            </w:r>
            <w:r>
              <w:rPr>
                <w:color w:val="313132"/>
                <w:spacing w:val="0"/>
                <w:w w:val="100"/>
                <w:position w:val="0"/>
                <w:sz w:val="16"/>
                <w:szCs w:val="16"/>
                <w:shd w:val="clear" w:color="auto" w:fill="auto"/>
                <w:lang w:val="ru-RU" w:eastAsia="ru-RU" w:bidi="ru-RU"/>
              </w:rPr>
              <w:t xml:space="preserve">анализа эходанных, используется </w:t>
            </w:r>
            <w:r>
              <w:rPr>
                <w:color w:val="000000"/>
                <w:spacing w:val="0"/>
                <w:w w:val="100"/>
                <w:position w:val="0"/>
                <w:sz w:val="16"/>
                <w:szCs w:val="16"/>
                <w:shd w:val="clear" w:color="auto" w:fill="auto"/>
                <w:lang w:val="ru-RU" w:eastAsia="ru-RU" w:bidi="ru-RU"/>
              </w:rPr>
              <w:t xml:space="preserve">при </w:t>
            </w:r>
            <w:r>
              <w:rPr>
                <w:color w:val="313132"/>
                <w:spacing w:val="0"/>
                <w:w w:val="100"/>
                <w:position w:val="0"/>
                <w:sz w:val="16"/>
                <w:szCs w:val="16"/>
                <w:shd w:val="clear" w:color="auto" w:fill="auto"/>
                <w:lang w:val="ru-RU" w:eastAsia="ru-RU" w:bidi="ru-RU"/>
              </w:rPr>
              <w:t>расчетах для оценки минеральной плотности кости или подкожного жира, или для проведения других количественных оценок (например, риска переломов). Как правило, имеет встроенный ультразвуковой датчик, электронные устройства для детекции, панель управления, компьютер, программное обеспечение, видеодисплей и систему позиционирования пациента.</w:t>
            </w:r>
          </w:p>
        </w:tc>
      </w:tr>
      <w:tr>
        <w:trPr>
          <w:trHeight w:val="192"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 xml:space="preserve">Принцип </w:t>
            </w:r>
            <w:r>
              <w:rPr>
                <w:color w:val="515150"/>
                <w:spacing w:val="0"/>
                <w:w w:val="100"/>
                <w:position w:val="0"/>
                <w:sz w:val="16"/>
                <w:szCs w:val="16"/>
                <w:shd w:val="clear" w:color="auto" w:fill="auto"/>
                <w:lang w:val="ru-RU" w:eastAsia="ru-RU" w:bidi="ru-RU"/>
              </w:rPr>
              <w:t>сканирования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Ультразвуковое сканирование объекта исследования</w:t>
            </w:r>
          </w:p>
        </w:tc>
      </w:tr>
      <w:tr>
        <w:trPr>
          <w:trHeight w:val="197"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3.</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Объект исследования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 xml:space="preserve">Пя </w:t>
            </w:r>
            <w:r>
              <w:rPr>
                <w:color w:val="313132"/>
                <w:spacing w:val="0"/>
                <w:w w:val="100"/>
                <w:position w:val="0"/>
                <w:sz w:val="16"/>
                <w:szCs w:val="16"/>
                <w:shd w:val="clear" w:color="auto" w:fill="auto"/>
                <w:lang w:val="ru-RU" w:eastAsia="ru-RU" w:bidi="ru-RU"/>
              </w:rPr>
              <w:t>гочная кость</w:t>
            </w:r>
          </w:p>
        </w:tc>
      </w:tr>
      <w:tr>
        <w:trPr>
          <w:trHeight w:val="197"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spacing w:val="0"/>
                <w:w w:val="100"/>
                <w:position w:val="0"/>
                <w:sz w:val="16"/>
                <w:szCs w:val="16"/>
                <w:shd w:val="clear" w:color="auto" w:fill="auto"/>
                <w:lang w:val="ru-RU" w:eastAsia="ru-RU" w:bidi="ru-RU"/>
              </w:rPr>
              <w:t>4.</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Алгоритм компенсации температурных колебаний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192"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5.</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Максимальное время измерения</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сек</w:t>
            </w: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 xml:space="preserve">Не </w:t>
            </w:r>
            <w:r>
              <w:rPr>
                <w:color w:val="313132"/>
                <w:spacing w:val="0"/>
                <w:w w:val="100"/>
                <w:position w:val="0"/>
                <w:sz w:val="16"/>
                <w:szCs w:val="16"/>
                <w:shd w:val="clear" w:color="auto" w:fill="auto"/>
                <w:lang w:val="ru-RU" w:eastAsia="ru-RU" w:bidi="ru-RU"/>
              </w:rPr>
              <w:t>более 20</w:t>
            </w:r>
          </w:p>
        </w:tc>
      </w:tr>
      <w:tr>
        <w:trPr>
          <w:trHeight w:val="197"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6.</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Сохранение результатов</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408"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spacing w:val="0"/>
                <w:w w:val="100"/>
                <w:position w:val="0"/>
                <w:sz w:val="16"/>
                <w:szCs w:val="16"/>
                <w:shd w:val="clear" w:color="auto" w:fill="auto"/>
                <w:lang w:val="ru-RU" w:eastAsia="ru-RU" w:bidi="ru-RU"/>
              </w:rPr>
              <w:t>7.</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83" w:lineRule="auto"/>
              <w:ind w:left="0" w:right="0" w:firstLine="0"/>
              <w:jc w:val="center"/>
              <w:rPr>
                <w:sz w:val="16"/>
                <w:szCs w:val="16"/>
              </w:rPr>
            </w:pPr>
            <w:r>
              <w:rPr>
                <w:color w:val="313132"/>
                <w:spacing w:val="0"/>
                <w:w w:val="100"/>
                <w:position w:val="0"/>
                <w:sz w:val="16"/>
                <w:szCs w:val="16"/>
                <w:shd w:val="clear" w:color="auto" w:fill="auto"/>
                <w:lang w:val="ru-RU" w:eastAsia="ru-RU" w:bidi="ru-RU"/>
              </w:rPr>
              <w:t xml:space="preserve">Встроенный компьютер </w:t>
            </w:r>
            <w:r>
              <w:rPr>
                <w:color w:val="000000"/>
                <w:spacing w:val="0"/>
                <w:w w:val="100"/>
                <w:position w:val="0"/>
                <w:sz w:val="16"/>
                <w:szCs w:val="16"/>
                <w:shd w:val="clear" w:color="auto" w:fill="auto"/>
                <w:lang w:val="ru-RU" w:eastAsia="ru-RU" w:bidi="ru-RU"/>
              </w:rPr>
              <w:t xml:space="preserve">с </w:t>
            </w:r>
            <w:r>
              <w:rPr>
                <w:color w:val="313132"/>
                <w:spacing w:val="0"/>
                <w:w w:val="100"/>
                <w:position w:val="0"/>
                <w:sz w:val="16"/>
                <w:szCs w:val="16"/>
                <w:shd w:val="clear" w:color="auto" w:fill="auto"/>
                <w:lang w:val="ru-RU" w:eastAsia="ru-RU" w:bidi="ru-RU"/>
              </w:rPr>
              <w:t>предустановленной операционной системой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Наличие</w:t>
            </w:r>
          </w:p>
        </w:tc>
      </w:tr>
      <w:tr>
        <w:trPr>
          <w:trHeight w:val="413" w:hRule="exact"/>
        </w:trPr>
        <w:tc>
          <w:tcPr>
            <w:tcBorders>
              <w:top w:val="single" w:sz="4"/>
              <w:left w:val="single" w:sz="4"/>
              <w:bottom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313132"/>
                <w:spacing w:val="0"/>
                <w:w w:val="100"/>
                <w:position w:val="0"/>
                <w:sz w:val="16"/>
                <w:szCs w:val="16"/>
                <w:shd w:val="clear" w:color="auto" w:fill="auto"/>
                <w:lang w:val="ru-RU" w:eastAsia="ru-RU" w:bidi="ru-RU"/>
              </w:rPr>
              <w:t>8.</w:t>
            </w:r>
          </w:p>
        </w:tc>
        <w:tc>
          <w:tcPr>
            <w:tcBorders>
              <w:top w:val="single" w:sz="4"/>
              <w:left w:val="single" w:sz="4"/>
              <w:bottom w:val="single" w:sz="4"/>
            </w:tcBorders>
            <w:shd w:val="clear" w:color="auto" w:fill="auto"/>
            <w:vAlign w:val="bottom"/>
          </w:tcPr>
          <w:p>
            <w:pPr>
              <w:pStyle w:val="Style32"/>
              <w:keepNext w:val="0"/>
              <w:keepLines w:val="0"/>
              <w:widowControl w:val="0"/>
              <w:shd w:val="clear" w:color="auto" w:fill="auto"/>
              <w:bidi w:val="0"/>
              <w:spacing w:before="0" w:after="0" w:line="283" w:lineRule="auto"/>
              <w:ind w:left="0" w:right="0" w:firstLine="0"/>
              <w:jc w:val="center"/>
              <w:rPr>
                <w:sz w:val="16"/>
                <w:szCs w:val="16"/>
              </w:rPr>
            </w:pPr>
            <w:r>
              <w:rPr>
                <w:color w:val="313132"/>
                <w:spacing w:val="0"/>
                <w:w w:val="100"/>
                <w:position w:val="0"/>
                <w:sz w:val="16"/>
                <w:szCs w:val="16"/>
                <w:shd w:val="clear" w:color="auto" w:fill="auto"/>
                <w:lang w:val="ru-RU" w:eastAsia="ru-RU" w:bidi="ru-RU"/>
              </w:rPr>
              <w:t>Специальные программы для учета и обработки результатов измерений</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Наличие</w:t>
            </w:r>
          </w:p>
        </w:tc>
      </w:tr>
    </w:tbl>
    <w:p>
      <w:pPr>
        <w:widowControl w:val="0"/>
        <w:spacing w:line="1" w:lineRule="exact"/>
      </w:pPr>
      <w:r>
        <w:br w:type="page"/>
      </w:r>
    </w:p>
    <w:tbl>
      <w:tblPr>
        <w:tblOverlap w:val="never"/>
        <w:jc w:val="center"/>
        <w:tblLayout w:type="fixed"/>
      </w:tblPr>
      <w:tblGrid>
        <w:gridCol w:w="442"/>
        <w:gridCol w:w="3691"/>
        <w:gridCol w:w="571"/>
        <w:gridCol w:w="5218"/>
      </w:tblGrid>
      <w:tr>
        <w:trPr>
          <w:trHeight w:val="216"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9.</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Возможность ведения базы пациентов</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408"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10.</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76" w:lineRule="auto"/>
              <w:ind w:left="0" w:right="0" w:firstLine="0"/>
              <w:jc w:val="center"/>
              <w:rPr>
                <w:sz w:val="16"/>
                <w:szCs w:val="16"/>
              </w:rPr>
            </w:pPr>
            <w:r>
              <w:rPr>
                <w:color w:val="313132"/>
                <w:spacing w:val="0"/>
                <w:w w:val="100"/>
                <w:position w:val="0"/>
                <w:sz w:val="16"/>
                <w:szCs w:val="16"/>
                <w:shd w:val="clear" w:color="auto" w:fill="auto"/>
                <w:lang w:val="ru-RU" w:eastAsia="ru-RU" w:bidi="ru-RU"/>
              </w:rPr>
              <w:t xml:space="preserve">Результат исследования выводится </w:t>
            </w:r>
            <w:r>
              <w:rPr>
                <w:color w:val="000000"/>
                <w:spacing w:val="0"/>
                <w:w w:val="100"/>
                <w:position w:val="0"/>
                <w:sz w:val="16"/>
                <w:szCs w:val="16"/>
                <w:shd w:val="clear" w:color="auto" w:fill="auto"/>
                <w:lang w:val="ru-RU" w:eastAsia="ru-RU" w:bidi="ru-RU"/>
              </w:rPr>
              <w:t xml:space="preserve">в </w:t>
            </w:r>
            <w:r>
              <w:rPr>
                <w:color w:val="313132"/>
                <w:spacing w:val="0"/>
                <w:w w:val="100"/>
                <w:position w:val="0"/>
                <w:sz w:val="16"/>
                <w:szCs w:val="16"/>
                <w:shd w:val="clear" w:color="auto" w:fill="auto"/>
                <w:lang w:val="ru-RU" w:eastAsia="ru-RU" w:bidi="ru-RU"/>
              </w:rPr>
              <w:t>виде цветной диаграммы на дисплей денситометра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403"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11.</w:t>
            </w:r>
          </w:p>
        </w:tc>
        <w:tc>
          <w:tcPr>
            <w:tcBorders>
              <w:top w:val="single" w:sz="4"/>
              <w:left w:val="single" w:sz="4"/>
            </w:tcBorders>
            <w:shd w:val="clear" w:color="auto" w:fill="auto"/>
            <w:vAlign w:val="top"/>
          </w:tcPr>
          <w:p>
            <w:pPr>
              <w:pStyle w:val="Style32"/>
              <w:keepNext w:val="0"/>
              <w:keepLines w:val="0"/>
              <w:widowControl w:val="0"/>
              <w:shd w:val="clear" w:color="auto" w:fill="auto"/>
              <w:bidi w:val="0"/>
              <w:spacing w:before="0" w:after="0" w:line="276" w:lineRule="auto"/>
              <w:ind w:left="0" w:right="0" w:firstLine="0"/>
              <w:jc w:val="center"/>
              <w:rPr>
                <w:sz w:val="16"/>
                <w:szCs w:val="16"/>
              </w:rPr>
            </w:pPr>
            <w:r>
              <w:rPr>
                <w:color w:val="313132"/>
                <w:spacing w:val="0"/>
                <w:w w:val="100"/>
                <w:position w:val="0"/>
                <w:sz w:val="16"/>
                <w:szCs w:val="16"/>
                <w:shd w:val="clear" w:color="auto" w:fill="auto"/>
                <w:lang w:val="ru-RU" w:eastAsia="ru-RU" w:bidi="ru-RU"/>
              </w:rPr>
              <w:t>Встроенный в корпус денситометра цветной сенсорный дисплей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Наличие</w:t>
            </w:r>
          </w:p>
        </w:tc>
      </w:tr>
      <w:tr>
        <w:trPr>
          <w:trHeight w:val="403" w:hRule="exact"/>
        </w:trPr>
        <w:tc>
          <w:tcPr>
            <w:tcBorders>
              <w:top w:val="single" w:sz="4"/>
              <w:left w:val="single" w:sz="4"/>
            </w:tcBorders>
            <w:shd w:val="clear" w:color="auto" w:fill="auto"/>
            <w:vAlign w:val="top"/>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11.</w:t>
            </w:r>
          </w:p>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w:t>
            </w:r>
          </w:p>
        </w:tc>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Ра 1Мер диагонали встроенного дисплея</w:t>
            </w:r>
          </w:p>
        </w:tc>
        <w:tc>
          <w:tcPr>
            <w:tcBorders>
              <w:top w:val="single" w:sz="4"/>
              <w:left w:val="single" w:sz="4"/>
            </w:tcBorders>
            <w:shd w:val="clear" w:color="auto" w:fill="auto"/>
            <w:vAlign w:val="top"/>
          </w:tcPr>
          <w:p>
            <w:pPr>
              <w:pStyle w:val="Style32"/>
              <w:keepNext w:val="0"/>
              <w:keepLines w:val="0"/>
              <w:widowControl w:val="0"/>
              <w:shd w:val="clear" w:color="auto" w:fill="auto"/>
              <w:bidi w:val="0"/>
              <w:spacing w:before="0" w:after="0" w:line="269" w:lineRule="auto"/>
              <w:ind w:left="0" w:right="0" w:firstLine="0"/>
              <w:jc w:val="center"/>
              <w:rPr>
                <w:sz w:val="16"/>
                <w:szCs w:val="16"/>
              </w:rPr>
            </w:pPr>
            <w:r>
              <w:rPr>
                <w:color w:val="313132"/>
                <w:spacing w:val="0"/>
                <w:w w:val="100"/>
                <w:position w:val="0"/>
                <w:sz w:val="16"/>
                <w:szCs w:val="16"/>
                <w:shd w:val="clear" w:color="auto" w:fill="auto"/>
                <w:lang w:val="ru-RU" w:eastAsia="ru-RU" w:bidi="ru-RU"/>
              </w:rPr>
              <w:t xml:space="preserve">Дюй </w:t>
            </w:r>
            <w:r>
              <w:rPr>
                <w:color w:val="000000"/>
                <w:spacing w:val="0"/>
                <w:w w:val="100"/>
                <w:position w:val="0"/>
                <w:sz w:val="16"/>
                <w:szCs w:val="16"/>
                <w:shd w:val="clear" w:color="auto" w:fill="auto"/>
                <w:lang w:val="ru-RU" w:eastAsia="ru-RU" w:bidi="ru-RU"/>
              </w:rPr>
              <w:t>м</w:t>
            </w: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Не менее 6,2</w:t>
            </w:r>
          </w:p>
        </w:tc>
      </w:tr>
      <w:tr>
        <w:trPr>
          <w:trHeight w:val="413"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12.</w:t>
            </w:r>
          </w:p>
        </w:tc>
        <w:tc>
          <w:tcPr>
            <w:tcBorders>
              <w:top w:val="single" w:sz="4"/>
              <w:left w:val="single" w:sz="4"/>
            </w:tcBorders>
            <w:shd w:val="clear" w:color="auto" w:fill="auto"/>
            <w:vAlign w:val="top"/>
          </w:tcPr>
          <w:p>
            <w:pPr>
              <w:pStyle w:val="Style32"/>
              <w:keepNext w:val="0"/>
              <w:keepLines w:val="0"/>
              <w:widowControl w:val="0"/>
              <w:shd w:val="clear" w:color="auto" w:fill="auto"/>
              <w:bidi w:val="0"/>
              <w:spacing w:before="0" w:after="0" w:line="276" w:lineRule="auto"/>
              <w:ind w:left="0" w:right="0" w:firstLine="0"/>
              <w:jc w:val="center"/>
              <w:rPr>
                <w:sz w:val="16"/>
                <w:szCs w:val="16"/>
              </w:rPr>
            </w:pPr>
            <w:r>
              <w:rPr>
                <w:color w:val="313132"/>
                <w:spacing w:val="0"/>
                <w:w w:val="100"/>
                <w:position w:val="0"/>
                <w:sz w:val="16"/>
                <w:szCs w:val="16"/>
                <w:shd w:val="clear" w:color="auto" w:fill="auto"/>
                <w:lang w:val="ru-RU" w:eastAsia="ru-RU" w:bidi="ru-RU"/>
              </w:rPr>
              <w:t>Встроенный термальный принтер (для печати отчета по измерениям)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Наличие</w:t>
            </w:r>
          </w:p>
        </w:tc>
      </w:tr>
      <w:tr>
        <w:trPr>
          <w:trHeight w:val="403"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13.</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76" w:lineRule="auto"/>
              <w:ind w:left="0" w:right="0" w:firstLine="0"/>
              <w:jc w:val="center"/>
              <w:rPr>
                <w:sz w:val="16"/>
                <w:szCs w:val="16"/>
              </w:rPr>
            </w:pPr>
            <w:r>
              <w:rPr>
                <w:color w:val="313132"/>
                <w:spacing w:val="0"/>
                <w:w w:val="100"/>
                <w:position w:val="0"/>
                <w:sz w:val="16"/>
                <w:szCs w:val="16"/>
                <w:shd w:val="clear" w:color="auto" w:fill="auto"/>
                <w:lang w:val="ru-RU" w:eastAsia="ru-RU" w:bidi="ru-RU"/>
              </w:rPr>
              <w:t>Определение скорости прохождения ультразвука (808)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413"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14.</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83" w:lineRule="auto"/>
              <w:ind w:left="0" w:right="0" w:firstLine="0"/>
              <w:jc w:val="center"/>
              <w:rPr>
                <w:sz w:val="16"/>
                <w:szCs w:val="16"/>
              </w:rPr>
            </w:pPr>
            <w:r>
              <w:rPr>
                <w:color w:val="313132"/>
                <w:spacing w:val="0"/>
                <w:w w:val="100"/>
                <w:position w:val="0"/>
                <w:sz w:val="16"/>
                <w:szCs w:val="16"/>
                <w:shd w:val="clear" w:color="auto" w:fill="auto"/>
                <w:lang w:val="ru-RU" w:eastAsia="ru-RU" w:bidi="ru-RU"/>
              </w:rPr>
              <w:t xml:space="preserve">Определение значения затухания ультразвука в костной ткани </w:t>
            </w:r>
            <w:r>
              <w:rPr>
                <w:color w:val="000000"/>
                <w:spacing w:val="0"/>
                <w:w w:val="100"/>
                <w:position w:val="0"/>
                <w:sz w:val="16"/>
                <w:szCs w:val="16"/>
                <w:shd w:val="clear" w:color="auto" w:fill="auto"/>
                <w:lang w:val="ru-RU" w:eastAsia="ru-RU" w:bidi="ru-RU"/>
              </w:rPr>
              <w:t>(В11А)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Наличие</w:t>
            </w:r>
          </w:p>
        </w:tc>
      </w:tr>
      <w:tr>
        <w:trPr>
          <w:trHeight w:val="408"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15.</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76" w:lineRule="auto"/>
              <w:ind w:left="0" w:right="0" w:firstLine="0"/>
              <w:jc w:val="center"/>
              <w:rPr>
                <w:sz w:val="16"/>
                <w:szCs w:val="16"/>
              </w:rPr>
            </w:pPr>
            <w:r>
              <w:rPr>
                <w:color w:val="313132"/>
                <w:spacing w:val="0"/>
                <w:w w:val="100"/>
                <w:position w:val="0"/>
                <w:sz w:val="16"/>
                <w:szCs w:val="16"/>
                <w:shd w:val="clear" w:color="auto" w:fill="auto"/>
                <w:lang w:val="ru-RU" w:eastAsia="ru-RU" w:bidi="ru-RU"/>
              </w:rPr>
              <w:t xml:space="preserve">Определение значения индекса качества костной ткани </w:t>
            </w:r>
            <w:r>
              <w:rPr>
                <w:color w:val="000000"/>
                <w:spacing w:val="0"/>
                <w:w w:val="100"/>
                <w:position w:val="0"/>
                <w:sz w:val="16"/>
                <w:szCs w:val="16"/>
                <w:shd w:val="clear" w:color="auto" w:fill="auto"/>
                <w:lang w:val="ru-RU" w:eastAsia="ru-RU" w:bidi="ru-RU"/>
              </w:rPr>
              <w:t>(В01)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192" w:hRule="exact"/>
        </w:trPr>
        <w:tc>
          <w:tcPr>
            <w:tcBorders>
              <w:top w:val="single" w:sz="4"/>
              <w:left w:val="single" w:sz="4"/>
            </w:tcBorders>
            <w:shd w:val="clear" w:color="auto" w:fill="auto"/>
            <w:vAlign w:val="top"/>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16.</w:t>
            </w:r>
          </w:p>
        </w:tc>
        <w:tc>
          <w:tcPr>
            <w:tcBorders>
              <w:top w:val="single" w:sz="4"/>
              <w:left w:val="single" w:sz="4"/>
            </w:tcBorders>
            <w:shd w:val="clear" w:color="auto" w:fill="auto"/>
            <w:vAlign w:val="top"/>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Коэффициент вариации (СУ) для величин:</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08" w:hRule="exact"/>
        </w:trPr>
        <w:tc>
          <w:tcPr>
            <w:tcBorders>
              <w:top w:val="single" w:sz="4"/>
              <w:left w:val="single" w:sz="4"/>
            </w:tcBorders>
            <w:shd w:val="clear" w:color="auto" w:fill="auto"/>
            <w:vAlign w:val="top"/>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16.</w:t>
            </w:r>
          </w:p>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w:t>
            </w:r>
          </w:p>
        </w:tc>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- 808</w:t>
            </w:r>
          </w:p>
        </w:tc>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w:t>
            </w: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 xml:space="preserve">0,2 </w:t>
            </w:r>
            <w:r>
              <w:rPr>
                <w:color w:val="313132"/>
                <w:spacing w:val="0"/>
                <w:w w:val="100"/>
                <w:position w:val="0"/>
                <w:sz w:val="16"/>
                <w:szCs w:val="16"/>
                <w:shd w:val="clear" w:color="auto" w:fill="auto"/>
                <w:lang w:val="ru-RU" w:eastAsia="ru-RU" w:bidi="ru-RU"/>
              </w:rPr>
              <w:t>%</w:t>
            </w:r>
          </w:p>
        </w:tc>
      </w:tr>
      <w:tr>
        <w:trPr>
          <w:trHeight w:val="403" w:hRule="exact"/>
        </w:trPr>
        <w:tc>
          <w:tcPr>
            <w:tcBorders>
              <w:top w:val="single" w:sz="4"/>
              <w:left w:val="single" w:sz="4"/>
            </w:tcBorders>
            <w:shd w:val="clear" w:color="auto" w:fill="auto"/>
            <w:vAlign w:val="top"/>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16.</w:t>
            </w:r>
          </w:p>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w:t>
            </w:r>
          </w:p>
        </w:tc>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 В ПА</w:t>
            </w:r>
          </w:p>
        </w:tc>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w:t>
            </w: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 xml:space="preserve">1,5 </w:t>
            </w:r>
            <w:r>
              <w:rPr>
                <w:color w:val="313132"/>
                <w:spacing w:val="0"/>
                <w:w w:val="100"/>
                <w:position w:val="0"/>
                <w:sz w:val="16"/>
                <w:szCs w:val="16"/>
                <w:shd w:val="clear" w:color="auto" w:fill="auto"/>
                <w:lang w:val="ru-RU" w:eastAsia="ru-RU" w:bidi="ru-RU"/>
              </w:rPr>
              <w:t>%</w:t>
            </w:r>
          </w:p>
        </w:tc>
      </w:tr>
      <w:tr>
        <w:trPr>
          <w:trHeight w:val="408" w:hRule="exact"/>
        </w:trPr>
        <w:tc>
          <w:tcPr>
            <w:tcBorders>
              <w:top w:val="single" w:sz="4"/>
              <w:left w:val="single" w:sz="4"/>
            </w:tcBorders>
            <w:shd w:val="clear" w:color="auto" w:fill="auto"/>
            <w:vAlign w:val="top"/>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16.</w:t>
            </w:r>
          </w:p>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3.</w:t>
            </w:r>
          </w:p>
        </w:tc>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-Вр!</w:t>
            </w:r>
          </w:p>
        </w:tc>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w:t>
            </w: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 xml:space="preserve">1,5 </w:t>
            </w:r>
            <w:r>
              <w:rPr>
                <w:color w:val="313132"/>
                <w:spacing w:val="0"/>
                <w:w w:val="100"/>
                <w:position w:val="0"/>
                <w:sz w:val="16"/>
                <w:szCs w:val="16"/>
                <w:shd w:val="clear" w:color="auto" w:fill="auto"/>
                <w:lang w:val="ru-RU" w:eastAsia="ru-RU" w:bidi="ru-RU"/>
              </w:rPr>
              <w:t>%</w:t>
            </w:r>
          </w:p>
        </w:tc>
      </w:tr>
      <w:tr>
        <w:trPr>
          <w:trHeight w:val="202"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17.</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Вычисление Т-кригерия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192"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18.</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Вычисление 2-критерия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197"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19.</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Центральная Частота</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МГц</w:t>
            </w: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0,55</w:t>
            </w:r>
          </w:p>
        </w:tc>
      </w:tr>
      <w:tr>
        <w:trPr>
          <w:trHeight w:val="192"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Минимальное расстояние между УЗ-зондами</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160"/>
              <w:jc w:val="left"/>
              <w:rPr>
                <w:sz w:val="11"/>
                <w:szCs w:val="11"/>
              </w:rPr>
            </w:pPr>
            <w:r>
              <w:rPr>
                <w:rFonts w:ascii="Arial" w:eastAsia="Arial" w:hAnsi="Arial" w:cs="Arial"/>
                <w:b/>
                <w:bCs/>
                <w:color w:val="000000"/>
                <w:spacing w:val="0"/>
                <w:w w:val="100"/>
                <w:position w:val="0"/>
                <w:sz w:val="11"/>
                <w:szCs w:val="11"/>
                <w:shd w:val="clear" w:color="auto" w:fill="auto"/>
                <w:lang w:val="ru-RU" w:eastAsia="ru-RU" w:bidi="ru-RU"/>
              </w:rPr>
              <w:t>ММ</w:t>
            </w: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25</w:t>
            </w:r>
          </w:p>
        </w:tc>
      </w:tr>
      <w:tr>
        <w:trPr>
          <w:trHeight w:val="197"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21.</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Максимальное расстояние между УЗ-зондами</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160"/>
              <w:jc w:val="left"/>
              <w:rPr>
                <w:sz w:val="11"/>
                <w:szCs w:val="11"/>
              </w:rPr>
            </w:pPr>
            <w:r>
              <w:rPr>
                <w:rFonts w:ascii="Arial" w:eastAsia="Arial" w:hAnsi="Arial" w:cs="Arial"/>
                <w:b/>
                <w:bCs/>
                <w:spacing w:val="0"/>
                <w:w w:val="100"/>
                <w:position w:val="0"/>
                <w:sz w:val="11"/>
                <w:szCs w:val="11"/>
                <w:shd w:val="clear" w:color="auto" w:fill="auto"/>
                <w:lang w:val="ru-RU" w:eastAsia="ru-RU" w:bidi="ru-RU"/>
              </w:rPr>
              <w:t>ММ</w:t>
            </w: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100</w:t>
            </w:r>
          </w:p>
        </w:tc>
      </w:tr>
      <w:tr>
        <w:trPr>
          <w:trHeight w:val="197"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22.</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 xml:space="preserve">Ежедневная калибровка </w:t>
            </w:r>
            <w:r>
              <w:rPr>
                <w:color w:val="000000"/>
                <w:spacing w:val="0"/>
                <w:w w:val="100"/>
                <w:position w:val="0"/>
                <w:sz w:val="16"/>
                <w:szCs w:val="16"/>
                <w:shd w:val="clear" w:color="auto" w:fill="auto"/>
                <w:lang w:val="ru-RU" w:eastAsia="ru-RU" w:bidi="ru-RU"/>
              </w:rPr>
              <w:t xml:space="preserve">с </w:t>
            </w:r>
            <w:r>
              <w:rPr>
                <w:color w:val="313132"/>
                <w:spacing w:val="0"/>
                <w:w w:val="100"/>
                <w:position w:val="0"/>
                <w:sz w:val="16"/>
                <w:szCs w:val="16"/>
                <w:shd w:val="clear" w:color="auto" w:fill="auto"/>
                <w:lang w:val="ru-RU" w:eastAsia="ru-RU" w:bidi="ru-RU"/>
              </w:rPr>
              <w:t>помощью фантома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Наличие</w:t>
            </w:r>
          </w:p>
        </w:tc>
      </w:tr>
      <w:tr>
        <w:trPr>
          <w:trHeight w:val="197"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23.</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Ц8В выход</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160"/>
              <w:jc w:val="left"/>
              <w:rPr>
                <w:sz w:val="16"/>
                <w:szCs w:val="16"/>
              </w:rPr>
            </w:pPr>
            <w:r>
              <w:rPr>
                <w:spacing w:val="0"/>
                <w:w w:val="100"/>
                <w:position w:val="0"/>
                <w:sz w:val="16"/>
                <w:szCs w:val="16"/>
                <w:shd w:val="clear" w:color="auto" w:fill="auto"/>
                <w:lang w:val="ru-RU" w:eastAsia="ru-RU" w:bidi="ru-RU"/>
              </w:rPr>
              <w:t>шт</w:t>
            </w: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Не менее 2</w:t>
            </w:r>
          </w:p>
        </w:tc>
      </w:tr>
      <w:tr>
        <w:trPr>
          <w:trHeight w:val="192"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24.</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Подключение по сети к другому компьютеру</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619"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spacing w:val="0"/>
                <w:w w:val="100"/>
                <w:position w:val="0"/>
                <w:sz w:val="16"/>
                <w:szCs w:val="16"/>
                <w:shd w:val="clear" w:color="auto" w:fill="auto"/>
                <w:lang w:val="ru-RU" w:eastAsia="ru-RU" w:bidi="ru-RU"/>
              </w:rPr>
              <w:t>25.</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76" w:lineRule="auto"/>
              <w:ind w:left="0" w:right="0" w:firstLine="0"/>
              <w:jc w:val="center"/>
              <w:rPr>
                <w:sz w:val="16"/>
                <w:szCs w:val="16"/>
              </w:rPr>
            </w:pPr>
            <w:r>
              <w:rPr>
                <w:color w:val="313132"/>
                <w:spacing w:val="0"/>
                <w:w w:val="100"/>
                <w:position w:val="0"/>
                <w:sz w:val="16"/>
                <w:szCs w:val="16"/>
                <w:shd w:val="clear" w:color="auto" w:fill="auto"/>
                <w:lang w:val="ru-RU" w:eastAsia="ru-RU" w:bidi="ru-RU"/>
              </w:rPr>
              <w:t>Возможность прямого подключения внешнего принтера к денситометру (без использования стороннего комггьюхера)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192"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spacing w:val="0"/>
                <w:w w:val="100"/>
                <w:position w:val="0"/>
                <w:sz w:val="16"/>
                <w:szCs w:val="16"/>
                <w:shd w:val="clear" w:color="auto" w:fill="auto"/>
                <w:lang w:val="ru-RU" w:eastAsia="ru-RU" w:bidi="ru-RU"/>
              </w:rPr>
              <w:t>26.</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Ложемент для поддержки голени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Наличие</w:t>
            </w:r>
          </w:p>
        </w:tc>
      </w:tr>
      <w:tr>
        <w:trPr>
          <w:trHeight w:val="408"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spacing w:val="0"/>
                <w:w w:val="100"/>
                <w:position w:val="0"/>
                <w:sz w:val="16"/>
                <w:szCs w:val="16"/>
                <w:shd w:val="clear" w:color="auto" w:fill="auto"/>
                <w:lang w:val="ru-RU" w:eastAsia="ru-RU" w:bidi="ru-RU"/>
              </w:rPr>
              <w:t>27.</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69" w:lineRule="auto"/>
              <w:ind w:left="0" w:right="0" w:firstLine="0"/>
              <w:jc w:val="center"/>
              <w:rPr>
                <w:sz w:val="16"/>
                <w:szCs w:val="16"/>
              </w:rPr>
            </w:pPr>
            <w:r>
              <w:rPr>
                <w:color w:val="313132"/>
                <w:spacing w:val="0"/>
                <w:w w:val="100"/>
                <w:position w:val="0"/>
                <w:sz w:val="16"/>
                <w:szCs w:val="16"/>
                <w:shd w:val="clear" w:color="auto" w:fill="auto"/>
                <w:lang w:val="ru-RU" w:eastAsia="ru-RU" w:bidi="ru-RU"/>
              </w:rPr>
              <w:t>Подключение внешнего Н8В накопителя к денситометру</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Наличие</w:t>
            </w:r>
          </w:p>
        </w:tc>
      </w:tr>
      <w:tr>
        <w:trPr>
          <w:trHeight w:val="624"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spacing w:val="0"/>
                <w:w w:val="100"/>
                <w:position w:val="0"/>
                <w:sz w:val="16"/>
                <w:szCs w:val="16"/>
                <w:shd w:val="clear" w:color="auto" w:fill="auto"/>
                <w:lang w:val="ru-RU" w:eastAsia="ru-RU" w:bidi="ru-RU"/>
              </w:rPr>
              <w:t>28.</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76" w:lineRule="auto"/>
              <w:ind w:left="0" w:right="0" w:firstLine="0"/>
              <w:jc w:val="center"/>
              <w:rPr>
                <w:sz w:val="16"/>
                <w:szCs w:val="16"/>
              </w:rPr>
            </w:pPr>
            <w:r>
              <w:rPr>
                <w:color w:val="313132"/>
                <w:spacing w:val="0"/>
                <w:w w:val="100"/>
                <w:position w:val="0"/>
                <w:sz w:val="16"/>
                <w:szCs w:val="16"/>
                <w:shd w:val="clear" w:color="auto" w:fill="auto"/>
                <w:lang w:val="ru-RU" w:eastAsia="ru-RU" w:bidi="ru-RU"/>
              </w:rPr>
              <w:t>Видеовыход для подключения внешнею монитора к денситометру напрямую (без использования стороннего компьютера)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Наличие</w:t>
            </w:r>
          </w:p>
        </w:tc>
      </w:tr>
      <w:tr>
        <w:trPr>
          <w:trHeight w:val="408" w:hRule="exact"/>
        </w:trPr>
        <w:tc>
          <w:tcPr>
            <w:tcBorders>
              <w:top w:val="single" w:sz="4"/>
              <w:lef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29.</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76" w:lineRule="auto"/>
              <w:ind w:left="0" w:right="0" w:firstLine="0"/>
              <w:jc w:val="center"/>
              <w:rPr>
                <w:sz w:val="16"/>
                <w:szCs w:val="16"/>
              </w:rPr>
            </w:pPr>
            <w:r>
              <w:rPr>
                <w:color w:val="313132"/>
                <w:spacing w:val="0"/>
                <w:w w:val="100"/>
                <w:position w:val="0"/>
                <w:sz w:val="16"/>
                <w:szCs w:val="16"/>
                <w:shd w:val="clear" w:color="auto" w:fill="auto"/>
                <w:lang w:val="ru-RU" w:eastAsia="ru-RU" w:bidi="ru-RU"/>
              </w:rPr>
              <w:t>Бумага для печати (для встроенною термопринтера)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Наличие</w:t>
            </w:r>
          </w:p>
        </w:tc>
      </w:tr>
      <w:tr>
        <w:trPr>
          <w:trHeight w:val="192" w:hRule="exact"/>
        </w:trPr>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spacing w:val="0"/>
                <w:w w:val="100"/>
                <w:position w:val="0"/>
                <w:sz w:val="16"/>
                <w:szCs w:val="16"/>
                <w:shd w:val="clear" w:color="auto" w:fill="auto"/>
                <w:lang w:val="ru-RU" w:eastAsia="ru-RU" w:bidi="ru-RU"/>
              </w:rPr>
              <w:t>30.</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Габаригы</w:t>
            </w:r>
          </w:p>
        </w:tc>
        <w:tc>
          <w:tcPr>
            <w:tcBorders>
              <w:top w:val="single" w:sz="4"/>
              <w:lef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мм</w:t>
            </w:r>
          </w:p>
        </w:tc>
        <w:tc>
          <w:tcPr>
            <w:tcBorders>
              <w:top w:val="single" w:sz="4"/>
              <w:left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 xml:space="preserve">615 +/-10 </w:t>
            </w:r>
            <w:r>
              <w:rPr>
                <w:color w:val="000000"/>
                <w:spacing w:val="0"/>
                <w:w w:val="100"/>
                <w:position w:val="0"/>
                <w:sz w:val="16"/>
                <w:szCs w:val="16"/>
                <w:shd w:val="clear" w:color="auto" w:fill="auto"/>
                <w:lang w:val="ru-RU" w:eastAsia="ru-RU" w:bidi="ru-RU"/>
              </w:rPr>
              <w:t xml:space="preserve">х </w:t>
            </w:r>
            <w:r>
              <w:rPr>
                <w:spacing w:val="0"/>
                <w:w w:val="100"/>
                <w:position w:val="0"/>
                <w:sz w:val="16"/>
                <w:szCs w:val="16"/>
                <w:shd w:val="clear" w:color="auto" w:fill="auto"/>
                <w:lang w:val="ru-RU" w:eastAsia="ru-RU" w:bidi="ru-RU"/>
              </w:rPr>
              <w:t>290 +/-10 х 310 +/- 10</w:t>
            </w:r>
          </w:p>
        </w:tc>
      </w:tr>
      <w:tr>
        <w:trPr>
          <w:trHeight w:val="211" w:hRule="exact"/>
        </w:trPr>
        <w:tc>
          <w:tcPr>
            <w:tcBorders>
              <w:top w:val="single" w:sz="4"/>
              <w:left w:val="single" w:sz="4"/>
              <w:bottom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31.</w:t>
            </w:r>
          </w:p>
        </w:tc>
        <w:tc>
          <w:tcPr>
            <w:tcBorders>
              <w:top w:val="single" w:sz="4"/>
              <w:left w:val="single" w:sz="4"/>
              <w:bottom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color w:val="313132"/>
                <w:spacing w:val="0"/>
                <w:w w:val="100"/>
                <w:position w:val="0"/>
                <w:sz w:val="16"/>
                <w:szCs w:val="16"/>
                <w:shd w:val="clear" w:color="auto" w:fill="auto"/>
                <w:lang w:val="ru-RU" w:eastAsia="ru-RU" w:bidi="ru-RU"/>
              </w:rPr>
              <w:t>Вес</w:t>
            </w:r>
          </w:p>
        </w:tc>
        <w:tc>
          <w:tcPr>
            <w:tcBorders>
              <w:top w:val="single" w:sz="4"/>
              <w:left w:val="single" w:sz="4"/>
              <w:bottom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кг</w:t>
            </w:r>
          </w:p>
        </w:tc>
        <w:tc>
          <w:tcPr>
            <w:tcBorders>
              <w:top w:val="single" w:sz="4"/>
              <w:left w:val="single" w:sz="4"/>
              <w:bottom w:val="single" w:sz="4"/>
              <w:right w:val="single" w:sz="4"/>
            </w:tcBorders>
            <w:shd w:val="clear" w:color="auto" w:fill="auto"/>
            <w:vAlign w:val="bottom"/>
          </w:tcPr>
          <w:p>
            <w:pPr>
              <w:pStyle w:val="Style32"/>
              <w:keepNext w:val="0"/>
              <w:keepLines w:val="0"/>
              <w:widowControl w:val="0"/>
              <w:shd w:val="clear" w:color="auto" w:fill="auto"/>
              <w:bidi w:val="0"/>
              <w:spacing w:before="0" w:after="0" w:line="240" w:lineRule="auto"/>
              <w:ind w:left="0" w:right="0" w:firstLine="0"/>
              <w:jc w:val="center"/>
              <w:rPr>
                <w:sz w:val="16"/>
                <w:szCs w:val="16"/>
              </w:rPr>
            </w:pPr>
            <w:r>
              <w:rPr>
                <w:spacing w:val="0"/>
                <w:w w:val="100"/>
                <w:position w:val="0"/>
                <w:sz w:val="16"/>
                <w:szCs w:val="16"/>
                <w:shd w:val="clear" w:color="auto" w:fill="auto"/>
                <w:lang w:val="ru-RU" w:eastAsia="ru-RU" w:bidi="ru-RU"/>
              </w:rPr>
              <w:t xml:space="preserve">не </w:t>
            </w:r>
            <w:r>
              <w:rPr>
                <w:color w:val="313132"/>
                <w:spacing w:val="0"/>
                <w:w w:val="100"/>
                <w:position w:val="0"/>
                <w:sz w:val="16"/>
                <w:szCs w:val="16"/>
                <w:shd w:val="clear" w:color="auto" w:fill="auto"/>
                <w:lang w:val="ru-RU" w:eastAsia="ru-RU" w:bidi="ru-RU"/>
              </w:rPr>
              <w:t xml:space="preserve">менее </w:t>
            </w:r>
            <w:r>
              <w:rPr>
                <w:spacing w:val="0"/>
                <w:w w:val="100"/>
                <w:position w:val="0"/>
                <w:sz w:val="16"/>
                <w:szCs w:val="16"/>
                <w:shd w:val="clear" w:color="auto" w:fill="auto"/>
                <w:lang w:val="ru-RU" w:eastAsia="ru-RU" w:bidi="ru-RU"/>
              </w:rPr>
              <w:t xml:space="preserve">10 и не </w:t>
            </w:r>
            <w:r>
              <w:rPr>
                <w:color w:val="313132"/>
                <w:spacing w:val="0"/>
                <w:w w:val="100"/>
                <w:position w:val="0"/>
                <w:sz w:val="16"/>
                <w:szCs w:val="16"/>
                <w:shd w:val="clear" w:color="auto" w:fill="auto"/>
                <w:lang w:val="ru-RU" w:eastAsia="ru-RU" w:bidi="ru-RU"/>
              </w:rPr>
              <w:t xml:space="preserve">более </w:t>
            </w:r>
            <w:r>
              <w:rPr>
                <w:spacing w:val="0"/>
                <w:w w:val="100"/>
                <w:position w:val="0"/>
                <w:sz w:val="16"/>
                <w:szCs w:val="16"/>
                <w:shd w:val="clear" w:color="auto" w:fill="auto"/>
                <w:lang w:val="ru-RU" w:eastAsia="ru-RU" w:bidi="ru-RU"/>
              </w:rPr>
              <w:t>13</w:t>
            </w:r>
          </w:p>
        </w:tc>
      </w:tr>
    </w:tbl>
    <w:p>
      <w:pPr>
        <w:widowControl w:val="0"/>
        <w:spacing w:after="279" w:line="1" w:lineRule="exact"/>
      </w:pP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 xml:space="preserve">Комиссией установлено, что участник закупки с идентификационным номером 114019770 (ООО «Камелия») предложил к поставке товар «Система ультразвуковой костной денситометрии»; страна происхождения товара: Республика Корея и указал технические характеристики такого товара, которые полностью соответствуют техническим характеристикам, установленным в описании объекта закупки </w:t>
      </w:r>
      <w:r>
        <w:rPr>
          <w:i/>
          <w:iCs/>
          <w:spacing w:val="0"/>
          <w:w w:val="100"/>
          <w:position w:val="0"/>
          <w:shd w:val="clear" w:color="auto" w:fill="auto"/>
          <w:lang w:val="ru-RU" w:eastAsia="ru-RU" w:bidi="ru-RU"/>
        </w:rPr>
        <w:t>{прим., сведения о конкретной модели в заявке отсутствуют).</w:t>
      </w:r>
      <w:r>
        <w:rPr>
          <w:spacing w:val="0"/>
          <w:w w:val="100"/>
          <w:position w:val="0"/>
          <w:shd w:val="clear" w:color="auto" w:fill="auto"/>
          <w:lang w:val="ru-RU" w:eastAsia="ru-RU" w:bidi="ru-RU"/>
        </w:rPr>
        <w:t xml:space="preserve"> Также в составе в заявки было приложено регистрационное удостоверение: РЗН 2015/3134 от 30.09.2015 на товар «Денситометры ультразвуковые костные 80М08Т-2000, 80М08Т-3000»; производитель: Остеосиз Ко., Лтд. (Озкеозуз Со.,Иск); страна происхождения товара: Республика Корея.</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Победитель закупки в своих письменных пояснениях (от 27.04.2023 исх. №б/н) гарантировал поставку товара с заявленными характеристиками.</w:t>
      </w:r>
    </w:p>
    <w:p>
      <w:pPr>
        <w:pStyle w:val="Style10"/>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связи с изложенным, а также с учетом того, что предложение участника закупки ООО «Камелия» полностью соответствует требованиям Технического задания, а действующее законодательство не обязывает аукционную комиссию, заказчика проверять достоверность предоставленных участником закупки сведений, аукционной комиссией данный участник закупки был правомерно допущен и признан победителем электронного</w:t>
      </w:r>
      <w:r>
        <w:br w:type="page"/>
      </w:r>
    </w:p>
    <w:p>
      <w:pPr>
        <w:pStyle w:val="Style10"/>
        <w:keepNext w:val="0"/>
        <w:keepLines w:val="0"/>
        <w:widowControl w:val="0"/>
        <w:shd w:val="clear" w:color="auto" w:fill="auto"/>
        <w:bidi w:val="0"/>
        <w:spacing w:before="0" w:after="0" w:line="240" w:lineRule="auto"/>
        <w:ind w:left="0" w:right="0" w:firstLine="740"/>
        <w:jc w:val="both"/>
      </w:pPr>
      <w:r>
        <mc:AlternateContent>
          <mc:Choice Requires="wps">
            <w:drawing>
              <wp:anchor distT="0" distB="0" distL="114300" distR="114300" simplePos="0" relativeHeight="125829380" behindDoc="0" locked="0" layoutInCell="1" allowOverlap="1">
                <wp:simplePos x="0" y="0"/>
                <wp:positionH relativeFrom="page">
                  <wp:posOffset>665480</wp:posOffset>
                </wp:positionH>
                <wp:positionV relativeFrom="margin">
                  <wp:posOffset>57785</wp:posOffset>
                </wp:positionV>
                <wp:extent cx="709930" cy="210185"/>
                <wp:wrapTopAndBottom/>
                <wp:docPr id="15" name="Shape 15"/>
                <a:graphic xmlns:a="http://schemas.openxmlformats.org/drawingml/2006/main">
                  <a:graphicData uri="http://schemas.microsoft.com/office/word/2010/wordprocessingShape">
                    <wps:wsp>
                      <wps:cNvSpPr txBox="1"/>
                      <wps:spPr>
                        <a:xfrm>
                          <a:ext cx="709930" cy="21018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аукциона.</w:t>
                            </w:r>
                          </w:p>
                        </w:txbxContent>
                      </wps:txbx>
                      <wps:bodyPr wrap="none" lIns="0" tIns="0" rIns="0" bIns="0">
                        <a:noAutoFit/>
                      </wps:bodyPr>
                    </wps:wsp>
                  </a:graphicData>
                </a:graphic>
              </wp:anchor>
            </w:drawing>
          </mc:Choice>
          <mc:Fallback>
            <w:pict>
              <v:shape id="_x0000_s1041" type="#_x0000_t202" style="position:absolute;margin-left:52.399999999999999pt;margin-top:4.5499999999999998pt;width:55.899999999999999pt;height:16.550000000000001pt;z-index:-125829373;mso-wrap-distance-left:9.pt;mso-wrap-distance-right:9.pt;mso-position-horizontal-relative:page;mso-position-vertic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аукциона.</w:t>
                      </w:r>
                    </w:p>
                  </w:txbxContent>
                </v:textbox>
                <w10:wrap type="topAndBottom" anchorx="page" anchory="margin"/>
              </v:shape>
            </w:pict>
          </mc:Fallback>
        </mc:AlternateContent>
      </w:r>
      <w:r>
        <w:rPr>
          <w:spacing w:val="0"/>
          <w:w w:val="100"/>
          <w:position w:val="0"/>
          <w:shd w:val="clear" w:color="auto" w:fill="auto"/>
          <w:lang w:val="ru-RU" w:eastAsia="ru-RU" w:bidi="ru-RU"/>
        </w:rPr>
        <w:t>В связи с вышеуказанным, жалоба Заявителя признается необоснованной.</w:t>
      </w:r>
    </w:p>
    <w:p>
      <w:pPr>
        <w:pStyle w:val="Style10"/>
        <w:keepNext w:val="0"/>
        <w:keepLines w:val="0"/>
        <w:widowControl w:val="0"/>
        <w:shd w:val="clear" w:color="auto" w:fill="auto"/>
        <w:bidi w:val="0"/>
        <w:spacing w:before="0" w:after="140" w:line="240" w:lineRule="auto"/>
        <w:ind w:left="0" w:right="0" w:firstLine="740"/>
        <w:jc w:val="both"/>
      </w:pPr>
      <w:r>
        <w:rPr>
          <w:spacing w:val="0"/>
          <w:w w:val="100"/>
          <w:position w:val="0"/>
          <w:shd w:val="clear" w:color="auto" w:fill="auto"/>
          <w:lang w:val="ru-RU" w:eastAsia="ru-RU" w:bidi="ru-RU"/>
        </w:rPr>
        <w:t>При этом, Комиссия отмечает, что в соответствии с подпунктом «б» пункта 1 части 15 статьи 95 Закона Заказчик обязан принять решение об одностороннем отказе от исполнения контракта в случае если в ходе исполнения контракта установлено, что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pPr>
        <w:pStyle w:val="Style10"/>
        <w:keepNext w:val="0"/>
        <w:keepLines w:val="0"/>
        <w:widowControl w:val="0"/>
        <w:shd w:val="clear" w:color="auto" w:fill="auto"/>
        <w:bidi w:val="0"/>
        <w:spacing w:before="0" w:after="140" w:line="240" w:lineRule="auto"/>
        <w:ind w:left="0" w:right="0" w:firstLine="740"/>
        <w:jc w:val="both"/>
      </w:pPr>
      <w:r>
        <w:rPr>
          <w:spacing w:val="0"/>
          <w:w w:val="100"/>
          <w:position w:val="0"/>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0"/>
        <w:keepNext w:val="0"/>
        <w:keepLines w:val="0"/>
        <w:widowControl w:val="0"/>
        <w:shd w:val="clear" w:color="auto" w:fill="auto"/>
        <w:bidi w:val="0"/>
        <w:spacing w:before="0" w:after="140" w:line="240" w:lineRule="auto"/>
        <w:ind w:left="0" w:right="0" w:firstLine="0"/>
        <w:jc w:val="center"/>
      </w:pPr>
      <w:r>
        <w:rPr>
          <w:spacing w:val="0"/>
          <w:w w:val="100"/>
          <w:position w:val="0"/>
          <w:shd w:val="clear" w:color="auto" w:fill="auto"/>
          <w:lang w:val="ru-RU" w:eastAsia="ru-RU" w:bidi="ru-RU"/>
        </w:rPr>
        <w:t>РЕШИЛА:</w:t>
      </w:r>
    </w:p>
    <w:p>
      <w:pPr>
        <w:pStyle w:val="Style10"/>
        <w:keepNext w:val="0"/>
        <w:keepLines w:val="0"/>
        <w:widowControl w:val="0"/>
        <w:shd w:val="clear" w:color="auto" w:fill="auto"/>
        <w:bidi w:val="0"/>
        <w:spacing w:before="0" w:after="80" w:line="240" w:lineRule="auto"/>
        <w:ind w:left="0" w:right="0" w:firstLine="740"/>
        <w:jc w:val="both"/>
      </w:pPr>
      <w:r>
        <w:rPr>
          <w:spacing w:val="0"/>
          <w:w w:val="100"/>
          <w:position w:val="0"/>
          <w:shd w:val="clear" w:color="auto" w:fill="auto"/>
          <w:lang w:val="ru-RU" w:eastAsia="ru-RU" w:bidi="ru-RU"/>
        </w:rPr>
        <w:t>Признать жалобу Общества с ограниченной ответственностью «Медикал-Сервис» на действия аукционной комиссии, государственного заказчика - Областного государственного бюджетного учреждения здравоохранения «Смоленский областной клинический госпиталь для ветеранов войн», уполномоченного органа - Главного управления Смоленской области по регулированию контрактной системы при проведении электронного аукциона: «Поставка системы ультразвуковой костной денситометрии для нужд ОГБУЗ «Смоленский областной клинический госпиталь для ветеранов войн» (извещение № 0163200000323002061) необоснованной.</w:t>
      </w:r>
    </w:p>
    <w:p>
      <w:pPr>
        <w:pStyle w:val="Style10"/>
        <w:keepNext w:val="0"/>
        <w:keepLines w:val="0"/>
        <w:widowControl w:val="0"/>
        <w:shd w:val="clear" w:color="auto" w:fill="auto"/>
        <w:bidi w:val="0"/>
        <w:spacing w:before="0" w:after="260" w:line="240" w:lineRule="auto"/>
        <w:ind w:left="0" w:right="0" w:firstLine="740"/>
        <w:jc w:val="both"/>
      </w:pPr>
      <w:r>
        <w:rPr>
          <w:i/>
          <w:iCs/>
          <w:spacing w:val="0"/>
          <w:w w:val="100"/>
          <w:position w:val="0"/>
          <w:shd w:val="clear" w:color="auto" w:fill="auto"/>
          <w:lang w:val="ru-RU" w:eastAsia="ru-RU" w:bidi="ru-RU"/>
        </w:rPr>
        <w:t xml:space="preserve">В соответствии с частью 9 статьи 106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w:t>
      </w:r>
      <w:r>
        <w:rPr>
          <w:i/>
          <w:iCs/>
          <w:color w:val="000000"/>
          <w:spacing w:val="0"/>
          <w:w w:val="100"/>
          <w:position w:val="0"/>
          <w:shd w:val="clear" w:color="auto" w:fill="auto"/>
          <w:lang w:val="ru-RU" w:eastAsia="ru-RU" w:bidi="ru-RU"/>
        </w:rPr>
        <w:t xml:space="preserve">в </w:t>
      </w:r>
      <w:r>
        <w:rPr>
          <w:i/>
          <w:iCs/>
          <w:spacing w:val="0"/>
          <w:w w:val="100"/>
          <w:position w:val="0"/>
          <w:shd w:val="clear" w:color="auto" w:fill="auto"/>
          <w:lang w:val="ru-RU" w:eastAsia="ru-RU" w:bidi="ru-RU"/>
        </w:rPr>
        <w:t xml:space="preserve">судебном порядке в течение трех месяцев с даты его </w:t>
      </w:r>
      <w:r>
        <w:rPr>
          <w:i/>
          <w:iCs/>
          <w:color w:val="313132"/>
          <w:spacing w:val="0"/>
          <w:w w:val="100"/>
          <w:position w:val="0"/>
          <w:shd w:val="clear" w:color="auto" w:fill="auto"/>
          <w:lang w:val="ru-RU" w:eastAsia="ru-RU" w:bidi="ru-RU"/>
        </w:rPr>
        <w:t>принятия, у .</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Заместитель</w:t>
      </w:r>
    </w:p>
    <w:p>
      <w:pPr>
        <w:pStyle w:val="Style10"/>
        <w:keepNext w:val="0"/>
        <w:keepLines w:val="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ru-RU" w:eastAsia="ru-RU" w:bidi="ru-RU"/>
        </w:rPr>
        <w:t>председателя Комиссии</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Заместитель</w:t>
      </w:r>
    </w:p>
    <w:p>
      <w:pPr>
        <w:pStyle w:val="Style10"/>
        <w:keepNext w:val="0"/>
        <w:keepLines w:val="0"/>
        <w:widowControl w:val="0"/>
        <w:shd w:val="clear" w:color="auto" w:fill="auto"/>
        <w:bidi w:val="0"/>
        <w:spacing w:before="0" w:after="140" w:line="240" w:lineRule="auto"/>
        <w:ind w:left="0" w:right="0" w:firstLine="0"/>
        <w:jc w:val="left"/>
      </w:pPr>
      <w:r>
        <w:drawing>
          <wp:anchor distT="0" distB="0" distL="0" distR="0" simplePos="0" relativeHeight="125829382" behindDoc="0" locked="0" layoutInCell="1" allowOverlap="1">
            <wp:simplePos x="0" y="0"/>
            <wp:positionH relativeFrom="page">
              <wp:posOffset>2988310</wp:posOffset>
            </wp:positionH>
            <wp:positionV relativeFrom="margin">
              <wp:posOffset>5325110</wp:posOffset>
            </wp:positionV>
            <wp:extent cx="1993265" cy="2389505"/>
            <wp:wrapTight wrapText="bothSides">
              <wp:wrapPolygon>
                <wp:start x="4333" y="0"/>
                <wp:lineTo x="11247" y="0"/>
                <wp:lineTo x="11247" y="716"/>
                <wp:lineTo x="19020" y="716"/>
                <wp:lineTo x="19020" y="2177"/>
                <wp:lineTo x="19880" y="2177"/>
                <wp:lineTo x="19880" y="5758"/>
                <wp:lineTo x="19020" y="5758"/>
                <wp:lineTo x="19020" y="7935"/>
                <wp:lineTo x="19880" y="7935"/>
                <wp:lineTo x="19880" y="8651"/>
                <wp:lineTo x="20740" y="8651"/>
                <wp:lineTo x="20740" y="12233"/>
                <wp:lineTo x="19880" y="12233"/>
                <wp:lineTo x="19880" y="12977"/>
                <wp:lineTo x="20740" y="12977"/>
                <wp:lineTo x="20740" y="18018"/>
                <wp:lineTo x="21600" y="18018"/>
                <wp:lineTo x="21600" y="20167"/>
                <wp:lineTo x="20740" y="20167"/>
                <wp:lineTo x="20740" y="20884"/>
                <wp:lineTo x="19020" y="20884"/>
                <wp:lineTo x="19020" y="21600"/>
                <wp:lineTo x="3440" y="21600"/>
                <wp:lineTo x="3440" y="20884"/>
                <wp:lineTo x="2580" y="20884"/>
                <wp:lineTo x="2580" y="20167"/>
                <wp:lineTo x="1720" y="20167"/>
                <wp:lineTo x="1720" y="18735"/>
                <wp:lineTo x="0" y="18735"/>
                <wp:lineTo x="0" y="16558"/>
                <wp:lineTo x="860" y="16558"/>
                <wp:lineTo x="860" y="15842"/>
                <wp:lineTo x="0" y="15842"/>
                <wp:lineTo x="0" y="13693"/>
                <wp:lineTo x="860" y="13693"/>
                <wp:lineTo x="860" y="12977"/>
                <wp:lineTo x="0" y="12977"/>
                <wp:lineTo x="0" y="10800"/>
                <wp:lineTo x="860" y="10800"/>
                <wp:lineTo x="860" y="10084"/>
                <wp:lineTo x="0" y="10084"/>
                <wp:lineTo x="0" y="8651"/>
                <wp:lineTo x="1720" y="8651"/>
                <wp:lineTo x="1720" y="6474"/>
                <wp:lineTo x="860" y="6474"/>
                <wp:lineTo x="860" y="4326"/>
                <wp:lineTo x="0" y="4326"/>
                <wp:lineTo x="0" y="2177"/>
                <wp:lineTo x="860" y="2177"/>
                <wp:lineTo x="860" y="1433"/>
                <wp:lineTo x="1720" y="1433"/>
                <wp:lineTo x="1720" y="716"/>
                <wp:lineTo x="4333" y="716"/>
                <wp:lineTo x="4333" y="0"/>
              </wp:wrapPolygon>
            </wp:wrapT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1993265" cy="2389505"/>
                    </a:xfrm>
                    <a:prstGeom prst="rect"/>
                  </pic:spPr>
                </pic:pic>
              </a:graphicData>
            </a:graphic>
          </wp:anchor>
        </w:drawing>
      </w:r>
      <w:r>
        <mc:AlternateContent>
          <mc:Choice Requires="wps">
            <w:drawing>
              <wp:anchor distT="0" distB="0" distL="114300" distR="114300" simplePos="0" relativeHeight="125829383" behindDoc="0" locked="0" layoutInCell="1" allowOverlap="1">
                <wp:simplePos x="0" y="0"/>
                <wp:positionH relativeFrom="page">
                  <wp:posOffset>650240</wp:posOffset>
                </wp:positionH>
                <wp:positionV relativeFrom="margin">
                  <wp:posOffset>7120255</wp:posOffset>
                </wp:positionV>
                <wp:extent cx="1124585" cy="204470"/>
                <wp:wrapTopAndBottom/>
                <wp:docPr id="19" name="Shape 19"/>
                <a:graphic xmlns:a="http://schemas.openxmlformats.org/drawingml/2006/main">
                  <a:graphicData uri="http://schemas.microsoft.com/office/word/2010/wordprocessingShape">
                    <wps:wsp>
                      <wps:cNvSpPr txBox="1"/>
                      <wps:spPr>
                        <a:xfrm>
                          <a:ext cx="1124585" cy="2044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45" type="#_x0000_t202" style="position:absolute;margin-left:51.200000000000003pt;margin-top:560.64999999999998pt;width:88.549999999999997pt;height:16.100000000000001pt;z-index:-125829370;mso-wrap-distance-left:9.pt;mso-wrap-distance-right:9.pt;mso-position-horizontal-relative:page;mso-position-vertical-relative:margin"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topAndBottom" anchorx="page" anchory="margin"/>
              </v:shape>
            </w:pict>
          </mc:Fallback>
        </mc:AlternateContent>
      </w:r>
      <w:r>
        <w:rPr>
          <w:color w:val="000000"/>
          <w:spacing w:val="0"/>
          <w:w w:val="100"/>
          <w:position w:val="0"/>
          <w:shd w:val="clear" w:color="auto" w:fill="auto"/>
          <w:lang w:val="ru-RU" w:eastAsia="ru-RU" w:bidi="ru-RU"/>
        </w:rPr>
        <w:t>председателя Комиссии</w:t>
      </w:r>
    </w:p>
    <w:sectPr>
      <w:headerReference w:type="default" r:id="rId17"/>
      <w:footerReference w:type="default" r:id="rId18"/>
      <w:headerReference w:type="first" r:id="rId19"/>
      <w:footerReference w:type="first" r:id="rId20"/>
      <w:footnotePr>
        <w:pos w:val="pageBottom"/>
        <w:numFmt w:val="decimal"/>
        <w:numRestart w:val="continuous"/>
      </w:footnotePr>
      <w:pgSz w:w="11900" w:h="16840"/>
      <w:pgMar w:top="1576" w:right="465" w:bottom="1291" w:left="914"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673100</wp:posOffset>
              </wp:positionH>
              <wp:positionV relativeFrom="page">
                <wp:posOffset>10086975</wp:posOffset>
              </wp:positionV>
              <wp:extent cx="579120" cy="109855"/>
              <wp:wrapNone/>
              <wp:docPr id="9" name="Shape 9"/>
              <a:graphic xmlns:a="http://schemas.openxmlformats.org/drawingml/2006/main">
                <a:graphicData uri="http://schemas.microsoft.com/office/word/2010/wordprocessingShape">
                  <wps:wsp>
                    <wps:cNvSpPr txBox="1"/>
                    <wps:spPr>
                      <a:xfrm>
                        <a:ext cx="579120" cy="1098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2023-896</w:t>
                          </w:r>
                        </w:p>
                      </w:txbxContent>
                    </wps:txbx>
                    <wps:bodyPr wrap="none" lIns="0" tIns="0" rIns="0" bIns="0">
                      <a:spAutoFit/>
                    </wps:bodyPr>
                  </wps:wsp>
                </a:graphicData>
              </a:graphic>
            </wp:anchor>
          </w:drawing>
        </mc:Choice>
        <mc:Fallback>
          <w:pict>
            <v:shape id="_x0000_s1035" type="#_x0000_t202" style="position:absolute;margin-left:53.pt;margin-top:794.25pt;width:45.600000000000001pt;height:8.6500000000000004pt;z-index:-188744058;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803910</wp:posOffset>
              </wp:positionH>
              <wp:positionV relativeFrom="page">
                <wp:posOffset>9920605</wp:posOffset>
              </wp:positionV>
              <wp:extent cx="579120" cy="109855"/>
              <wp:wrapNone/>
              <wp:docPr id="11" name="Shape 11"/>
              <a:graphic xmlns:a="http://schemas.openxmlformats.org/drawingml/2006/main">
                <a:graphicData uri="http://schemas.microsoft.com/office/word/2010/wordprocessingShape">
                  <wps:wsp>
                    <wps:cNvSpPr txBox="1"/>
                    <wps:spPr>
                      <a:xfrm>
                        <a:ext cx="579120" cy="1098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313132"/>
                              <w:spacing w:val="0"/>
                              <w:w w:val="100"/>
                              <w:position w:val="0"/>
                              <w:sz w:val="24"/>
                              <w:szCs w:val="24"/>
                              <w:shd w:val="clear" w:color="auto" w:fill="auto"/>
                              <w:lang w:val="ru-RU" w:eastAsia="ru-RU" w:bidi="ru-RU"/>
                            </w:rPr>
                            <w:t>2023-896</w:t>
                          </w:r>
                        </w:p>
                      </w:txbxContent>
                    </wps:txbx>
                    <wps:bodyPr wrap="none" lIns="0" tIns="0" rIns="0" bIns="0">
                      <a:spAutoFit/>
                    </wps:bodyPr>
                  </wps:wsp>
                </a:graphicData>
              </a:graphic>
            </wp:anchor>
          </w:drawing>
        </mc:Choice>
        <mc:Fallback>
          <w:pict>
            <v:shape id="_x0000_s1037" type="#_x0000_t202" style="position:absolute;margin-left:63.300000000000004pt;margin-top:781.14999999999998pt;width:45.600000000000001pt;height:8.6500000000000004pt;z-index:-188744056;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313132"/>
                        <w:spacing w:val="0"/>
                        <w:w w:val="100"/>
                        <w:position w:val="0"/>
                        <w:sz w:val="24"/>
                        <w:szCs w:val="24"/>
                        <w:shd w:val="clear" w:color="auto" w:fill="auto"/>
                        <w:lang w:val="ru-RU" w:eastAsia="ru-RU" w:bidi="ru-RU"/>
                      </w:rPr>
                      <w:t>2023-896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673100</wp:posOffset>
              </wp:positionH>
              <wp:positionV relativeFrom="page">
                <wp:posOffset>10086975</wp:posOffset>
              </wp:positionV>
              <wp:extent cx="579120" cy="109855"/>
              <wp:wrapNone/>
              <wp:docPr id="23" name="Shape 23"/>
              <a:graphic xmlns:a="http://schemas.openxmlformats.org/drawingml/2006/main">
                <a:graphicData uri="http://schemas.microsoft.com/office/word/2010/wordprocessingShape">
                  <wps:wsp>
                    <wps:cNvSpPr txBox="1"/>
                    <wps:spPr>
                      <a:xfrm>
                        <a:ext cx="579120" cy="1098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2023-896</w:t>
                          </w:r>
                        </w:p>
                      </w:txbxContent>
                    </wps:txbx>
                    <wps:bodyPr wrap="none" lIns="0" tIns="0" rIns="0" bIns="0">
                      <a:spAutoFit/>
                    </wps:bodyPr>
                  </wps:wsp>
                </a:graphicData>
              </a:graphic>
            </wp:anchor>
          </w:drawing>
        </mc:Choice>
        <mc:Fallback>
          <w:pict>
            <v:shape id="_x0000_s1049" type="#_x0000_t202" style="position:absolute;margin-left:53.pt;margin-top:794.25pt;width:45.600000000000001pt;height:8.6500000000000004pt;z-index:-188744052;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744855</wp:posOffset>
              </wp:positionH>
              <wp:positionV relativeFrom="page">
                <wp:posOffset>10056495</wp:posOffset>
              </wp:positionV>
              <wp:extent cx="572770" cy="109855"/>
              <wp:wrapNone/>
              <wp:docPr id="27" name="Shape 27"/>
              <a:graphic xmlns:a="http://schemas.openxmlformats.org/drawingml/2006/main">
                <a:graphicData uri="http://schemas.microsoft.com/office/word/2010/wordprocessingShape">
                  <wps:wsp>
                    <wps:cNvSpPr txBox="1"/>
                    <wps:spPr>
                      <a:xfrm>
                        <a:ext cx="572770" cy="1098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2023-896</w:t>
                          </w:r>
                        </w:p>
                      </w:txbxContent>
                    </wps:txbx>
                    <wps:bodyPr wrap="none" lIns="0" tIns="0" rIns="0" bIns="0">
                      <a:spAutoFit/>
                    </wps:bodyPr>
                  </wps:wsp>
                </a:graphicData>
              </a:graphic>
            </wp:anchor>
          </w:drawing>
        </mc:Choice>
        <mc:Fallback>
          <w:pict>
            <v:shape id="_x0000_s1053" type="#_x0000_t202" style="position:absolute;margin-left:58.649999999999999pt;margin-top:791.85000000000002pt;width:45.100000000000001pt;height:8.6500000000000004pt;z-index:-188744048;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2023-896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3891915</wp:posOffset>
              </wp:positionH>
              <wp:positionV relativeFrom="page">
                <wp:posOffset>692785</wp:posOffset>
              </wp:positionV>
              <wp:extent cx="67310" cy="106680"/>
              <wp:wrapNone/>
              <wp:docPr id="7" name="Shape 7"/>
              <a:graphic xmlns:a="http://schemas.openxmlformats.org/drawingml/2006/main">
                <a:graphicData uri="http://schemas.microsoft.com/office/word/2010/wordprocessingShape">
                  <wps:wsp>
                    <wps:cNvSpPr txBox="1"/>
                    <wps:spPr>
                      <a:xfrm>
                        <a:ext cx="67310" cy="1066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306.44999999999999pt;margin-top:54.550000000000004pt;width:5.2999999999999998pt;height:8.4000000000000004pt;z-index:-188744060;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3891915</wp:posOffset>
              </wp:positionH>
              <wp:positionV relativeFrom="page">
                <wp:posOffset>692785</wp:posOffset>
              </wp:positionV>
              <wp:extent cx="67310" cy="106680"/>
              <wp:wrapNone/>
              <wp:docPr id="21" name="Shape 21"/>
              <a:graphic xmlns:a="http://schemas.openxmlformats.org/drawingml/2006/main">
                <a:graphicData uri="http://schemas.microsoft.com/office/word/2010/wordprocessingShape">
                  <wps:wsp>
                    <wps:cNvSpPr txBox="1"/>
                    <wps:spPr>
                      <a:xfrm>
                        <a:ext cx="67310" cy="1066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6.44999999999999pt;margin-top:54.550000000000004pt;width:5.2999999999999998pt;height:8.4000000000000004pt;z-index:-188744054;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3972560</wp:posOffset>
              </wp:positionH>
              <wp:positionV relativeFrom="page">
                <wp:posOffset>796925</wp:posOffset>
              </wp:positionV>
              <wp:extent cx="69850" cy="100330"/>
              <wp:wrapNone/>
              <wp:docPr id="25" name="Shape 25"/>
              <a:graphic xmlns:a="http://schemas.openxmlformats.org/drawingml/2006/main">
                <a:graphicData uri="http://schemas.microsoft.com/office/word/2010/wordprocessingShape">
                  <wps:wsp>
                    <wps:cNvSpPr txBox="1"/>
                    <wps:spPr>
                      <a:xfrm>
                        <a:ext cx="69850" cy="10033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12.80000000000001pt;margin-top:62.75pt;width:5.5pt;height:7.9000000000000004pt;z-index:-188744050;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11"/>
      <w:numFmt w:val="decimal"/>
      <w:lvlText w:val="%1."/>
      <w:rPr>
        <w:rFonts w:ascii="Times New Roman" w:eastAsia="Times New Roman" w:hAnsi="Times New Roman" w:cs="Times New Roman"/>
        <w:b w:val="0"/>
        <w:bCs w:val="0"/>
        <w:i w:val="0"/>
        <w:iCs w:val="0"/>
        <w:smallCaps w:val="0"/>
        <w:strike w:val="0"/>
        <w:color w:val="727274"/>
        <w:spacing w:val="0"/>
        <w:w w:val="100"/>
        <w:position w:val="0"/>
        <w:sz w:val="36"/>
        <w:szCs w:val="3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141414"/>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141414"/>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141414"/>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515150"/>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141414"/>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color w:val="141414"/>
      <w:sz w:val="26"/>
      <w:szCs w:val="26"/>
      <w:u w:val="none"/>
    </w:rPr>
  </w:style>
  <w:style w:type="character" w:customStyle="1" w:styleId="CharStyle23">
    <w:name w:val="Колонтитул (2)_"/>
    <w:basedOn w:val="DefaultParagraphFont"/>
    <w:link w:val="Style22"/>
    <w:rPr>
      <w:rFonts w:ascii="Times New Roman" w:eastAsia="Times New Roman" w:hAnsi="Times New Roman" w:cs="Times New Roman"/>
      <w:b w:val="0"/>
      <w:bCs w:val="0"/>
      <w:i w:val="0"/>
      <w:iCs w:val="0"/>
      <w:smallCaps w:val="0"/>
      <w:strike w:val="0"/>
      <w:sz w:val="20"/>
      <w:szCs w:val="20"/>
      <w:u w:val="none"/>
    </w:rPr>
  </w:style>
  <w:style w:type="character" w:customStyle="1" w:styleId="CharStyle26">
    <w:name w:val="Заголовок №1_"/>
    <w:basedOn w:val="DefaultParagraphFont"/>
    <w:link w:val="Style25"/>
    <w:rPr>
      <w:rFonts w:ascii="Times New Roman" w:eastAsia="Times New Roman" w:hAnsi="Times New Roman" w:cs="Times New Roman"/>
      <w:b w:val="0"/>
      <w:bCs w:val="0"/>
      <w:i w:val="0"/>
      <w:iCs w:val="0"/>
      <w:smallCaps w:val="0"/>
      <w:strike w:val="0"/>
      <w:color w:val="313132"/>
      <w:sz w:val="36"/>
      <w:szCs w:val="36"/>
      <w:u w:val="none"/>
    </w:rPr>
  </w:style>
  <w:style w:type="character" w:customStyle="1" w:styleId="CharStyle33">
    <w:name w:val="Другое_"/>
    <w:basedOn w:val="DefaultParagraphFont"/>
    <w:link w:val="Style32"/>
    <w:rPr>
      <w:rFonts w:ascii="Times New Roman" w:eastAsia="Times New Roman" w:hAnsi="Times New Roman" w:cs="Times New Roman"/>
      <w:b w:val="0"/>
      <w:bCs w:val="0"/>
      <w:i w:val="0"/>
      <w:iCs w:val="0"/>
      <w:smallCaps w:val="0"/>
      <w:strike w:val="0"/>
      <w:color w:val="141414"/>
      <w:sz w:val="26"/>
      <w:szCs w:val="26"/>
      <w:u w:val="none"/>
    </w:rPr>
  </w:style>
  <w:style w:type="paragraph" w:customStyle="1" w:styleId="Style2">
    <w:name w:val="Основной текст (3)"/>
    <w:basedOn w:val="Normal"/>
    <w:link w:val="CharStyle3"/>
    <w:pPr>
      <w:widowControl w:val="0"/>
      <w:shd w:val="clear" w:color="auto" w:fill="auto"/>
      <w:spacing w:line="300" w:lineRule="auto"/>
      <w:jc w:val="center"/>
    </w:pPr>
    <w:rPr>
      <w:rFonts w:ascii="Times New Roman" w:eastAsia="Times New Roman" w:hAnsi="Times New Roman" w:cs="Times New Roman"/>
      <w:b w:val="0"/>
      <w:bCs w:val="0"/>
      <w:i w:val="0"/>
      <w:iCs w:val="0"/>
      <w:smallCaps w:val="0"/>
      <w:strike w:val="0"/>
      <w:color w:val="515150"/>
      <w:sz w:val="16"/>
      <w:szCs w:val="16"/>
      <w:u w:val="none"/>
    </w:rPr>
  </w:style>
  <w:style w:type="paragraph" w:customStyle="1" w:styleId="Style5">
    <w:name w:val="Основной текст (2)"/>
    <w:basedOn w:val="Normal"/>
    <w:link w:val="CharStyle6"/>
    <w:pPr>
      <w:widowControl w:val="0"/>
      <w:shd w:val="clear" w:color="auto" w:fill="auto"/>
      <w:spacing w:line="262" w:lineRule="auto"/>
    </w:pPr>
    <w:rPr>
      <w:rFonts w:ascii="Times New Roman" w:eastAsia="Times New Roman" w:hAnsi="Times New Roman" w:cs="Times New Roman"/>
      <w:b w:val="0"/>
      <w:bCs w:val="0"/>
      <w:i w:val="0"/>
      <w:iCs w:val="0"/>
      <w:smallCaps w:val="0"/>
      <w:strike w:val="0"/>
      <w:color w:val="141414"/>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color w:val="141414"/>
      <w:sz w:val="26"/>
      <w:szCs w:val="26"/>
      <w:u w:val="none"/>
    </w:rPr>
  </w:style>
  <w:style w:type="paragraph" w:customStyle="1" w:styleId="Style22">
    <w:name w:val="Колонтитул (2)"/>
    <w:basedOn w:val="Normal"/>
    <w:link w:val="CharStyle2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5">
    <w:name w:val="Заголовок №1"/>
    <w:basedOn w:val="Normal"/>
    <w:link w:val="CharStyle26"/>
    <w:pPr>
      <w:widowControl w:val="0"/>
      <w:shd w:val="clear" w:color="auto" w:fill="auto"/>
      <w:ind w:firstLine="340"/>
      <w:outlineLvl w:val="0"/>
    </w:pPr>
    <w:rPr>
      <w:rFonts w:ascii="Times New Roman" w:eastAsia="Times New Roman" w:hAnsi="Times New Roman" w:cs="Times New Roman"/>
      <w:b w:val="0"/>
      <w:bCs w:val="0"/>
      <w:i w:val="0"/>
      <w:iCs w:val="0"/>
      <w:smallCaps w:val="0"/>
      <w:strike w:val="0"/>
      <w:color w:val="313132"/>
      <w:sz w:val="36"/>
      <w:szCs w:val="36"/>
      <w:u w:val="none"/>
    </w:rPr>
  </w:style>
  <w:style w:type="paragraph" w:customStyle="1" w:styleId="Style32">
    <w:name w:val="Другое"/>
    <w:basedOn w:val="Normal"/>
    <w:link w:val="CharStyle33"/>
    <w:pPr>
      <w:widowControl w:val="0"/>
      <w:shd w:val="clear" w:color="auto" w:fill="auto"/>
      <w:ind w:firstLine="400"/>
    </w:pPr>
    <w:rPr>
      <w:rFonts w:ascii="Times New Roman" w:eastAsia="Times New Roman" w:hAnsi="Times New Roman" w:cs="Times New Roman"/>
      <w:b w:val="0"/>
      <w:bCs w:val="0"/>
      <w:i w:val="0"/>
      <w:iCs w:val="0"/>
      <w:smallCaps w:val="0"/>
      <w:strike w:val="0"/>
      <w:color w:val="141414"/>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image" Target="media/image4.png"/><Relationship Id="rId16" Type="http://schemas.openxmlformats.org/officeDocument/2006/relationships/image" Target="media/image4.png" TargetMode="Externa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header" Target="header4.xml"/><Relationship Id="rId20" Type="http://schemas.openxmlformats.org/officeDocument/2006/relationships/footer" Target="footer4.xml"/></Relationships>
</file>