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5385" distR="1108710" simplePos="0" relativeHeight="125829378" behindDoc="0" locked="0" layoutInCell="1" allowOverlap="1">
            <wp:simplePos x="0" y="0"/>
            <wp:positionH relativeFrom="page">
              <wp:posOffset>1504950</wp:posOffset>
            </wp:positionH>
            <wp:positionV relativeFrom="paragraph">
              <wp:posOffset>12700</wp:posOffset>
            </wp:positionV>
            <wp:extent cx="5245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4680" distB="0" distL="114300" distR="114300" simplePos="0" relativeHeight="125829379" behindDoc="0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627380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е-гпай: 1о77@Га8.аоу.ги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59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852" w:val="left"/>
                                <w:tab w:leader="underscore" w:pos="4005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</w:t>
                              <w:tab/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4.950000000000003pt;margin-top:49.399999999999999pt;width:203.05000000000001pt;height:170.15000000000001pt;z-index:-125829374;mso-wrap-distance-left:9.pt;mso-wrap-distance-top:48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64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е-гпай: 1о77@Га8.аоу.ги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59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852" w:val="left"/>
                          <w:tab w:leader="underscore" w:pos="4005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</w:t>
                        <w:tab/>
                        <w:t xml:space="preserve"> 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 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^р.xаЫдxкоп@дта^1. 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г. Москвы «Жилищник района Орехово-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Борисово Северное»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дЬи-оЬ8-хак@таП. 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ЮАО»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дех-иао-рдо@таП.ги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077/06/106-25834-ЭП/23/2023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37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- Комиссия Управления)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ГКУ «Дирекция ЖКХИБ ЮАО»: Ходановой Н.А. (по доверенности №б/н от 09.01.2023),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Тожибаев З. П. и ГБУ г. Москвы «Жилищник района Орехово-Борисово Северное», уведомленных о времени и порядке заседания письмом Московского УФАС России (исх. №ЕИ/17887/23 от 24.04.2023),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292" w:right="523" w:bottom="292" w:left="662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Тожибаев З. П. (далее — Заявитель) на действия ГКУ «Дирекция ЖКХИБ ЮАО» (далее — Заказчик) при проведении открытого конкурса в электронной форме на право заключения государственного контракта на выполнение работ по ремонту общего имущества в МКД (Закупка №0373200086723000364) (далее -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32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документы и сведения, запрашиваемые письмом Московского УФАС России исх.№ЕИ/17887/23 от 24.04.2023,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Заказчиком неправомерного порядка оценки заявок участников закупки по нестоимостному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открытого конкурса в электронной форме оценка заявок производится в соответствии с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абз.1 п.2 Положения «оценка заявок» - действия членов комиссии 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осуществлению закупок по присвоению в случаях, предусмотренных Законом о контрактной системе,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п.28 Положения установлено, что в случае применения показателя оценки, предусмотренного пп.«в» п.24 Положения применяются один или несколько из следующих детализирующих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установлен следующий порядок оценки заявок по детализирующему показателю «Общее количество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квалификации»: «Оценивается предложение участника об общем количестве исполненных участником закупки контрактов (договоров) за последние 5 лет, предшествующие дате окончания срока подачи заявок на участие в настоящем конкурсе (оценивается суммарное количество исполненных участником закупки контрактов (договоров), связанных с предметом контракта, заключаемого по результатам проведения закупки).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работами (услугами), связанными с предметом контракта, заключаемого по результатам проведения закупки, понимаются работы по текущему и(или) капитальному ремонту зданий, сооружений, объектов капитального строительства (за исключением линейных объектов).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договора и предусмотренный абзацем третьим подпункта "в" пункта 28 постановлением Правительства Российской Федерации от 31.12.2021 № 2604, должен быть подписан не ранее чем за 5 лет до даты окончания срока подачи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 правовые договоры, в том числе заключенные и исполненные в соответствии с Федеральным законом.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принимается исключительно исполненный договор (договоры),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/акиркЁдо^ш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_1_ к настоящим критериям оценки заявок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второй части заявки на участие в конкурсе либо информацией, размещенной на сайте Единой информационной системы в сфере закупок /акиркгдоу. ги».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также указывает, что в положениях порядка оценки Заказчиком неправомерно установлена возможность участников закупочной процедуры представить сведения о контрактах (договорах) по вышеуказанному детализирующему показателю на выполнение ремонто-строительных работ, что нарушает п. 33 Положения.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отмечает, что в соответствии с пп. «в» п. 33 Постановления № 2604 при осуществлении закупки, по результатам проведения которой заключается контракт на выполнение работ по текущему ремонту зданий, сооружений документом, предусмотренным приложением ^ 1 к настоящему Положению, в отношении показателя, предусмотренного подпунктом "в" пункта 24 настоящего Положения, его детализирующих показателей устанавливается положение о принятии к оценке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неустановление порядка оценки заявок данной закупочной процедуры в соответствии с положениями п. 33 Положения является следствием технической ошибки.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Комиссия Управления приходит к выводу, что установленный Заказчиком порядок оценки заявок по детализирующему показателю «Общее количество исполненных участником закупки договоров» нарушает п.11 ч.1 ст.42, ч.8 ст.32 Закона о контрактной системе при утверждении вышеуказанного порядка оценки, что содержит признаки состава административного правонарушения, ответственность за которое предусмотрена ч.1.4 ст.7.30 Кодекса административных правонарушений.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при выдаче Заказчику обязательного для исполнения предписания об устранении нарушений законодательства о контрактной системе Комиссия Управления учитывала то, что на основании протокола подведения итогов определения поставщика (подрядчика, исполнителя) от 24.04.2023 №ИЭОК1 на участие в конкурсе подана одна заявка, соответствующая требованиям извещения, на основании чего допущенные Заказчиком нарушения не повлияли на результаты определения поставщика, поскольку установленный порядок оценки не применялся при рассмотрении единственной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3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Тожибаев З. П. на действия ГБУ г. Москвы «Жилищник района Орехово-Борисово Северное»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п.11 ч.1 ст.42, ч.8 ст.32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4" w:val="left"/>
        </w:tabs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5867400</wp:posOffset>
                </wp:positionH>
                <wp:positionV relativeFrom="paragraph">
                  <wp:posOffset>12700</wp:posOffset>
                </wp:positionV>
                <wp:extent cx="1325880" cy="103314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1033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62.pt;margin-top:1.pt;width:104.40000000000001pt;height:81.35000000000000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headerReference w:type="default" r:id="rId7"/>
      <w:footnotePr>
        <w:pos w:val="pageBottom"/>
        <w:numFmt w:val="decimal"/>
        <w:numRestart w:val="continuous"/>
      </w:footnotePr>
      <w:pgSz w:w="11900" w:h="16840"/>
      <w:pgMar w:top="651" w:right="526" w:bottom="247" w:left="65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3784600</wp:posOffset>
              </wp:positionH>
              <wp:positionV relativeFrom="page">
                <wp:posOffset>130175</wp:posOffset>
              </wp:positionV>
              <wp:extent cx="6413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98.pt;margin-top:10.2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