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7475" distL="1172210" distR="113855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59753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2343785" distL="403860" distR="373380" simplePos="0" relativeHeight="125829379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622300</wp:posOffset>
                </wp:positionV>
                <wp:extent cx="2045335" cy="30162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0.049999999999997pt;margin-top:49.pt;width:161.05000000000001pt;height:23.75pt;z-index:-125829374;mso-wrap-distance-left:31.800000000000001pt;mso-wrap-distance-top:48.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1033145" distB="1816735" distL="233045" distR="193675" simplePos="0" relativeHeight="125829381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1045845</wp:posOffset>
                </wp:positionV>
                <wp:extent cx="2395855" cy="40513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5855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6.599999999999994pt;margin-top:82.350000000000009pt;width:188.65000000000001pt;height:31.900000000000002pt;z-index:-125829372;mso-wrap-distance-left:18.350000000000001pt;mso-wrap-distance-top:81.350000000000009pt;mso-wrap-distance-right:15.25pt;mso-wrap-distance-bottom:143.05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2261870" distB="0" distL="114300" distR="114300" simplePos="0" relativeHeight="125829383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2274570</wp:posOffset>
            </wp:positionV>
            <wp:extent cx="2597150" cy="993775"/>
            <wp:wrapSquare wrapText="righ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993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845820</wp:posOffset>
                </wp:positionH>
                <wp:positionV relativeFrom="paragraph">
                  <wp:posOffset>1628140</wp:posOffset>
                </wp:positionV>
                <wp:extent cx="2395855" cy="54546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95855" cy="545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Мясницкий проезд, д.4, стр. 1 107078, г. Москва, тел. (495) 784-75-05, факс (495) 607-49-29 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е-тай: 1о77@Га8.еоу.п1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6.599999999999994pt;margin-top:128.19999999999999pt;width:188.65000000000001pt;height:42.95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Мясницкий проезд, д.4, стр. 1 107078, г. Москва, тел. (495) 784-75-05, факс (495) 607-49-29 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е-тай: 1о77@Га8.еоу.п1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48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НЦН хакирИ@пеиго1оду.ги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80" w:line="422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«СПИРОНИКА» т&amp;@8рнотса.ги ООО «РТС-тендер» т&amp;@г1:8-1:епдег.ги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077/06/106-26489-ЭП/23/2023 о нарушении</w:t>
        <w:br/>
        <w:t>законодательства о контрактной системе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168" w:val="left"/>
        </w:tabs>
        <w:bidi w:val="0"/>
        <w:spacing w:before="0" w:after="0" w:line="211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Москва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НЦН: Т.В. Шабалиной (по дов.№4 от 19.01.2023),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«СПИРОНИКА»: А.В. Гутковского (генеральный директор),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536" w:bottom="298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«СПИРОНИКА» (далее — Заявитель) на действия ФГБНУ НЦН (далее — Заказчик) при проведении электронного аукциона на право заключения государственного контракта на поставку расходных медицинских материалов №32 (Закупка № 0373100078723000166)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норм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 от 25.04.2023 №ЕИ/18132/23.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ч.2 ст.33 Закона о контрактной системе описание объекта закупки в соответствии с требованиями, указанными в части 1 статьи 33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рассмотрены доводы жалобы на предмет установления в Техническом задании извещения об осуществлении закупки неправомерных требований товарам, что не позволяет беспрепятственно сформировать заявки на участие в аукционе и может повлечь за собой ограничение количества участников закупок, в частности: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-поз.11 «Контур дыхательный анестезиологический, одноразового использования»: «Фиксированная крышка на порте Луер углового коннектора красного цвета», по мнению Заявителя, данные требования ограничивают конкуренцию и препятствуют формированию заявки, поскольку указание на красный цвет не влияет на функциональность или безопасность медицинских манипуляций.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-поз.10 «Контур дыхательный анестезиологический, одноразового использования»: «Концентрация серебра в линии вдоха»: «Не менее 0,024», по мнению Заявителя, данные требования ограничивают конкуренцию и препятствуют формированию заявки, поскольку для удовлетворения своей потребности в защите пациентов против микроорганизмов Заказчику достаточно указать на наличие подтвержденной антимикробной активности, без указания на концентрацию серебра, при этом в наименовании показателя указана «концентрация серебра», а обоснование установления требования содержится отсылка к ионам серебра.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красный цвет является контрастным по отношению к основному цвету углового коннектора, указывает на наличие съемной детали в конструкции углового коннектора и позволяет легко и быстро идентифицировать место подключения к угловому коннектору мониторинговых датчиков, даже в условиях недостаточной освещенности.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Заказчиком указана концентрация ионов серебра на линии вдоха не менее 0.024%, так как существующие научные данные указывают на то, что фунгицидное действие ионов серебра наступает при концентрации 0.01%, а для инактивации таких микроорганизмов, как ЕзсЪепсЫа соК, 8а1топе11а, 8Ыде11а и других необходима концентрация ионов серебра не менее 0.02%. При этом выраженность фунгицидного, вирулицидного, бактериостатического и бактерицидного эффектов ионов серебра находится в прямой зависимости от концентрации указанных ионов.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Комиссия Управления отмечает, что при наличии у Заказчика обоснованной потребности в поставке товаров с конкретными характеристиками, Заказчику необходимо определить каким образом требуемый товар наилучшим образом удовлетворяет потребности Заказчика, а также в чем такой товар превосходит по характеристикам аналогичные товары, представленные на рынке и в связи с чем в работе учреждения не могут быть использованы эквивалентные товары.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Заказчиком не представлено документального подтверждения, свидетельствующего о наличии обоснованной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потребности в закупки изделий, соответствующих вышеуказанным требованиям.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например, какими преимуществами обладает крышка именно красного цвета по отношению к изделиям другой цветовой палитры.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заседании Комиссии Управления представителем Заказчика не указано на изделия, соответствующие установленному требование о наличии концентрация серебра в линии вдоха «не менее 0,024». Также Комиссия Управления отмечает, что Заказчиком фактически установлены требования к концентрации серебра, при этом в обосновании уже содержится указание на концентрацию ионов серебра.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об обоснованности данного довода жалобы и нарушении Заказчиком п.1 ч.1 ст.33, п.1 ч.2 ст.42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«СПИРОНИКА» на действия ФГБНУ НЦН 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нарушения п.1 ч.1 ст.33, п.1 ч.2 ст.42 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14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60" w:line="211" w:lineRule="auto"/>
        <w:ind w:left="0" w:right="0" w:firstLine="88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952500</wp:posOffset>
                </wp:positionV>
                <wp:extent cx="1859280" cy="54864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548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00000000000004pt;margin-top:75.pt;width:146.40000000000001pt;height:43.200000000000003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312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9"/>
      <w:footnotePr>
        <w:pos w:val="pageBottom"/>
        <w:numFmt w:val="decimal"/>
        <w:numRestart w:val="continuous"/>
      </w:footnotePr>
      <w:pgSz w:w="11900" w:h="16840"/>
      <w:pgMar w:top="1119" w:right="539" w:bottom="1167" w:left="1103" w:header="0" w:footer="73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05000000000001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5">
    <w:name w:val="Подпись к картинке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4">
    <w:name w:val="Подпись к картинке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/Relationships>
</file>