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3542" w:h="2362" w:wrap="none" w:hAnchor="page" w:x="1453" w:y="1129"/>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framePr w:w="3542" w:h="2362" w:wrap="none" w:hAnchor="page" w:x="1453" w:y="1129"/>
        <w:widowControl w:val="0"/>
        <w:shd w:val="clear" w:color="auto" w:fill="auto"/>
        <w:bidi w:val="0"/>
        <w:spacing w:before="0" w:line="240" w:lineRule="auto"/>
        <w:ind w:left="0" w:right="0" w:firstLine="0"/>
        <w:jc w:val="center"/>
        <w:rPr>
          <w:sz w:val="19"/>
          <w:szCs w:val="19"/>
        </w:rPr>
      </w:pPr>
      <w:r>
        <w:rPr>
          <w:b/>
          <w:bCs/>
          <w:color w:val="4460A3"/>
          <w:spacing w:val="0"/>
          <w:w w:val="100"/>
          <w:position w:val="0"/>
          <w:sz w:val="19"/>
          <w:szCs w:val="19"/>
          <w:shd w:val="clear" w:color="auto" w:fill="auto"/>
          <w:lang w:val="ru-RU" w:eastAsia="ru-RU" w:bidi="ru-RU"/>
        </w:rPr>
        <w:t>УПРАВЛЕНИЕ</w:t>
        <w:br/>
        <w:t>Федеральной антимонопольной службы</w:t>
        <w:br/>
        <w:t>по Ростовской области</w:t>
      </w:r>
    </w:p>
    <w:p>
      <w:pPr>
        <w:pStyle w:val="Style2"/>
        <w:keepNext w:val="0"/>
        <w:keepLines w:val="0"/>
        <w:framePr w:w="3542" w:h="2362" w:wrap="none" w:hAnchor="page" w:x="1453" w:y="1129"/>
        <w:widowControl w:val="0"/>
        <w:shd w:val="clear" w:color="auto" w:fill="auto"/>
        <w:bidi w:val="0"/>
        <w:spacing w:before="0"/>
        <w:ind w:left="0" w:right="0" w:firstLine="0"/>
        <w:jc w:val="center"/>
      </w:pPr>
      <w:r>
        <w:rPr>
          <w:spacing w:val="0"/>
          <w:w w:val="100"/>
          <w:position w:val="0"/>
          <w:shd w:val="clear" w:color="auto" w:fill="auto"/>
          <w:lang w:val="ru-RU" w:eastAsia="ru-RU" w:bidi="ru-RU"/>
        </w:rPr>
        <w:t>пр. Ворошиловский, 2/2, офис 403</w:t>
        <w:br/>
        <w:t>г. Ростов-на-Дону, 344006</w:t>
        <w:br/>
        <w:t>тел. (863) 263-31-04, факс (863) 240-99-59</w:t>
        <w:br/>
        <w:t>е-тай: 1о61@Гав.§оу.ги</w:t>
      </w:r>
    </w:p>
    <w:p>
      <w:pPr>
        <w:pStyle w:val="Style8"/>
        <w:keepNext w:val="0"/>
        <w:keepLines w:val="0"/>
        <w:framePr w:w="4061" w:h="245" w:wrap="none" w:hAnchor="page" w:x="1141" w:y="4129"/>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На №  от </w:t>
      </w:r>
    </w:p>
    <w:p>
      <w:pPr>
        <w:pStyle w:val="Style10"/>
        <w:keepNext w:val="0"/>
        <w:keepLines w:val="0"/>
        <w:framePr w:w="4670" w:h="4723" w:wrap="none" w:hAnchor="page" w:x="6406" w:y="884"/>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Государственное бюджетное учреждение Ростовской области "Ростовская областная клиническая больница"</w:t>
      </w:r>
    </w:p>
    <w:p>
      <w:pPr>
        <w:pStyle w:val="Style10"/>
        <w:keepNext w:val="0"/>
        <w:keepLines w:val="0"/>
        <w:framePr w:w="4670" w:h="4723" w:wrap="none" w:hAnchor="page" w:x="6406" w:y="884"/>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344015, Ростовская обл, Ростов-на-Дону г, ул.</w:t>
      </w:r>
    </w:p>
    <w:p>
      <w:pPr>
        <w:pStyle w:val="Style10"/>
        <w:keepNext w:val="0"/>
        <w:keepLines w:val="0"/>
        <w:framePr w:w="4670" w:h="4723" w:wrap="none" w:hAnchor="page" w:x="6406" w:y="884"/>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Благодатная, 170</w:t>
      </w:r>
    </w:p>
    <w:p>
      <w:pPr>
        <w:pStyle w:val="Style10"/>
        <w:keepNext w:val="0"/>
        <w:keepLines w:val="0"/>
        <w:framePr w:w="4670" w:h="4723" w:wrap="none" w:hAnchor="page" w:x="6406" w:y="884"/>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хауаука гокЬ@та!1.ги</w:t>
      </w:r>
    </w:p>
    <w:p>
      <w:pPr>
        <w:pStyle w:val="Style10"/>
        <w:keepNext w:val="0"/>
        <w:keepLines w:val="0"/>
        <w:framePr w:w="4670" w:h="4723" w:wrap="none" w:hAnchor="page" w:x="6406" w:y="884"/>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ООО «РТС-тендер»</w:t>
      </w:r>
    </w:p>
    <w:p>
      <w:pPr>
        <w:pStyle w:val="Style10"/>
        <w:keepNext w:val="0"/>
        <w:keepLines w:val="0"/>
        <w:framePr w:w="4670" w:h="4723" w:wrap="none" w:hAnchor="page" w:x="6406" w:y="884"/>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121151, г. Москва, набережная Тараса</w:t>
      </w:r>
    </w:p>
    <w:p>
      <w:pPr>
        <w:pStyle w:val="Style10"/>
        <w:keepNext w:val="0"/>
        <w:keepLines w:val="0"/>
        <w:framePr w:w="4670" w:h="4723" w:wrap="none" w:hAnchor="page" w:x="6406" w:y="884"/>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Шевченко, 23А</w:t>
      </w:r>
    </w:p>
    <w:p>
      <w:pPr>
        <w:pStyle w:val="Style10"/>
        <w:keepNext w:val="0"/>
        <w:keepLines w:val="0"/>
        <w:framePr w:w="4670" w:h="4723" w:wrap="none" w:hAnchor="page" w:x="6406" w:y="884"/>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ко@1Д8-1епдег.ш</w:t>
      </w:r>
    </w:p>
    <w:p>
      <w:pPr>
        <w:pStyle w:val="Style10"/>
        <w:keepNext w:val="0"/>
        <w:keepLines w:val="0"/>
        <w:framePr w:w="4670" w:h="4723" w:wrap="none" w:hAnchor="page" w:x="6406" w:y="884"/>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ООО "МЕДИКЭЛ М"</w:t>
      </w:r>
    </w:p>
    <w:p>
      <w:pPr>
        <w:pStyle w:val="Style10"/>
        <w:keepNext w:val="0"/>
        <w:keepLines w:val="0"/>
        <w:framePr w:w="4670" w:h="4723" w:wrap="none" w:hAnchor="page" w:x="6406" w:y="884"/>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141031, Московская область, г.о. Мытищи, п.</w:t>
      </w:r>
    </w:p>
    <w:p>
      <w:pPr>
        <w:pStyle w:val="Style10"/>
        <w:keepNext w:val="0"/>
        <w:keepLines w:val="0"/>
        <w:framePr w:w="4670" w:h="4723" w:wrap="none" w:hAnchor="page" w:x="6406" w:y="884"/>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Вешки, тер. ТПЗ Алтуфьево, ш. 2-й километр</w:t>
      </w:r>
    </w:p>
    <w:p>
      <w:pPr>
        <w:pStyle w:val="Style10"/>
        <w:keepNext w:val="0"/>
        <w:keepLines w:val="0"/>
        <w:framePr w:w="4670" w:h="4723" w:wrap="none" w:hAnchor="page" w:x="6406" w:y="884"/>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Липкинского, стр. 7/1, офис 317</w:t>
      </w:r>
    </w:p>
    <w:p>
      <w:pPr>
        <w:pStyle w:val="Style10"/>
        <w:keepNext w:val="0"/>
        <w:keepLines w:val="0"/>
        <w:framePr w:w="4670" w:h="4723" w:wrap="none" w:hAnchor="page" w:x="6406" w:y="884"/>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хакирИ@теШса1—т.ш</w:t>
      </w:r>
    </w:p>
    <w:p>
      <w:pPr>
        <w:pStyle w:val="Style10"/>
        <w:keepNext w:val="0"/>
        <w:keepLines w:val="0"/>
        <w:framePr w:w="3528" w:h="888" w:wrap="none" w:hAnchor="page" w:x="4477" w:y="6423"/>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РЕШЕНИЕ</w:t>
      </w:r>
    </w:p>
    <w:p>
      <w:pPr>
        <w:pStyle w:val="Style10"/>
        <w:keepNext w:val="0"/>
        <w:keepLines w:val="0"/>
        <w:framePr w:w="3528" w:h="888" w:wrap="none" w:hAnchor="page" w:x="4477" w:y="6423"/>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по результатам рассмотрения дела</w:t>
        <w:br/>
        <w:t>№061/06/49-1494/2023</w:t>
      </w:r>
    </w:p>
    <w:p>
      <w:pPr>
        <w:pStyle w:val="Style10"/>
        <w:keepNext w:val="0"/>
        <w:keepLines w:val="0"/>
        <w:framePr w:w="1104" w:h="341" w:wrap="none" w:hAnchor="page" w:x="1117" w:y="7518"/>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03.05.2023</w:t>
      </w:r>
    </w:p>
    <w:p>
      <w:pPr>
        <w:pStyle w:val="Style10"/>
        <w:keepNext w:val="0"/>
        <w:keepLines w:val="0"/>
        <w:framePr w:w="1834" w:h="341" w:wrap="none" w:hAnchor="page" w:x="9483" w:y="7518"/>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г. Ростов-на-Дону</w:t>
      </w:r>
    </w:p>
    <w:p>
      <w:pPr>
        <w:pStyle w:val="Style10"/>
        <w:keepNext w:val="0"/>
        <w:keepLines w:val="0"/>
        <w:framePr w:w="10243" w:h="888" w:wrap="none" w:hAnchor="page" w:x="1107" w:y="8065"/>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в сфере закупок в составе:</w:t>
      </w:r>
    </w:p>
    <w:p>
      <w:pPr>
        <w:pStyle w:val="Style10"/>
        <w:keepNext w:val="0"/>
        <w:keepLines w:val="0"/>
        <w:framePr w:w="10248" w:h="4176" w:wrap="none" w:hAnchor="page" w:x="1107" w:y="9164"/>
        <w:widowControl w:val="0"/>
        <w:shd w:val="clear" w:color="auto" w:fill="auto"/>
        <w:tabs>
          <w:tab w:pos="7795"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Председатель Комиссии:</w:t>
        <w:tab/>
        <w:t>Т.С. Акопян,</w:t>
      </w:r>
    </w:p>
    <w:p>
      <w:pPr>
        <w:pStyle w:val="Style10"/>
        <w:keepNext w:val="0"/>
        <w:keepLines w:val="0"/>
        <w:framePr w:w="10248" w:h="4176" w:wrap="none" w:hAnchor="page" w:x="1107" w:y="9164"/>
        <w:widowControl w:val="0"/>
        <w:shd w:val="clear" w:color="auto" w:fill="auto"/>
        <w:tabs>
          <w:tab w:pos="7800"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Члены Комиссии:</w:t>
        <w:tab/>
        <w:t>С.А. Евстратова,</w:t>
      </w:r>
    </w:p>
    <w:p>
      <w:pPr>
        <w:pStyle w:val="Style10"/>
        <w:keepNext w:val="0"/>
        <w:keepLines w:val="0"/>
        <w:framePr w:w="10248" w:h="4176" w:wrap="none" w:hAnchor="page" w:x="1107" w:y="9164"/>
        <w:widowControl w:val="0"/>
        <w:shd w:val="clear" w:color="auto" w:fill="auto"/>
        <w:bidi w:val="0"/>
        <w:spacing w:before="0" w:after="240" w:line="240" w:lineRule="auto"/>
        <w:ind w:left="0" w:right="380" w:firstLine="0"/>
        <w:jc w:val="right"/>
      </w:pPr>
      <w:r>
        <w:rPr>
          <w:color w:val="000000"/>
          <w:spacing w:val="0"/>
          <w:w w:val="100"/>
          <w:position w:val="0"/>
          <w:sz w:val="24"/>
          <w:szCs w:val="24"/>
          <w:shd w:val="clear" w:color="auto" w:fill="auto"/>
          <w:lang w:val="ru-RU" w:eastAsia="ru-RU" w:bidi="ru-RU"/>
        </w:rPr>
        <w:t>В.А. Мардаровская,</w:t>
      </w:r>
    </w:p>
    <w:p>
      <w:pPr>
        <w:pStyle w:val="Style10"/>
        <w:keepNext w:val="0"/>
        <w:keepLines w:val="0"/>
        <w:framePr w:w="10248" w:h="4176" w:wrap="none" w:hAnchor="page" w:x="1107" w:y="9164"/>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рассмотрев дело №061/06/49-1494/2023 по жалобе ООО «МЕДИКЭЛ М» (далее - Заявитель) о нарушении аукционной комиссией Государственного бюджетного учреждения Ростовской области «Ростовская областная клиническая больница» (далее - Заказчик) при проведении аукциона в электронной форме №0358200007023000036 «Поставка медицинских изделий (Аппарат «Искусственная почка»)» (далее - аукцион) норм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путем использования системы видеоконференц-связи (ВКС) при участии представителя Заявителя — Потатурко Т.Е. (доверенность от 01.05.2023), при личном участии представителя Заказчика — Банникова И.А. (доверенность от 14.01.2022),</w:t>
      </w:r>
    </w:p>
    <w:p>
      <w:pPr>
        <w:pStyle w:val="Style10"/>
        <w:keepNext w:val="0"/>
        <w:keepLines w:val="0"/>
        <w:framePr w:w="10248" w:h="4176" w:wrap="none" w:hAnchor="page" w:x="1107" w:y="9164"/>
        <w:widowControl w:val="0"/>
        <w:shd w:val="clear" w:color="auto" w:fill="auto"/>
        <w:bidi w:val="0"/>
        <w:spacing w:before="0" w:after="240" w:line="240" w:lineRule="auto"/>
        <w:ind w:left="0" w:right="0" w:firstLine="0"/>
        <w:jc w:val="center"/>
      </w:pPr>
      <w:r>
        <w:rPr>
          <w:color w:val="000000"/>
          <w:spacing w:val="0"/>
          <w:w w:val="100"/>
          <w:position w:val="0"/>
          <w:sz w:val="24"/>
          <w:szCs w:val="24"/>
          <w:shd w:val="clear" w:color="auto" w:fill="auto"/>
          <w:lang w:val="ru-RU" w:eastAsia="ru-RU" w:bidi="ru-RU"/>
        </w:rPr>
        <w:t>УСТАНОВИЛА:</w:t>
      </w:r>
    </w:p>
    <w:p>
      <w:pPr>
        <w:pStyle w:val="Style10"/>
        <w:keepNext w:val="0"/>
        <w:keepLines w:val="0"/>
        <w:framePr w:w="10234" w:h="888" w:wrap="none" w:hAnchor="page" w:x="1117" w:y="13547"/>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Ростовское УФАС России поступила жалоба ООО «МЕДИКЭЛ М» на действия аукционной комиссии Государственного бюджетного учреждения Ростовской области «Ростовская областная клиническая больница», по мнению Заявителя, Заказчиком принято незаконное решение</w:t>
      </w:r>
    </w:p>
    <w:p>
      <w:pPr>
        <w:widowControl w:val="0"/>
        <w:spacing w:line="360" w:lineRule="exact"/>
      </w:pPr>
      <w:r>
        <w:drawing>
          <wp:anchor distT="0" distB="0" distL="0" distR="0" simplePos="0" relativeHeight="62914690" behindDoc="1" locked="0" layoutInCell="1" allowOverlap="1">
            <wp:simplePos x="0" y="0"/>
            <wp:positionH relativeFrom="page">
              <wp:posOffset>1775460</wp:posOffset>
            </wp:positionH>
            <wp:positionV relativeFrom="margin">
              <wp:posOffset>0</wp:posOffset>
            </wp:positionV>
            <wp:extent cx="536575" cy="61595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w:drawing>
          <wp:anchor distT="0" distB="307975" distL="67310" distR="1393190" simplePos="0" relativeHeight="62914691" behindDoc="1" locked="0" layoutInCell="1" allowOverlap="1">
            <wp:simplePos x="0" y="0"/>
            <wp:positionH relativeFrom="page">
              <wp:posOffset>791210</wp:posOffset>
            </wp:positionH>
            <wp:positionV relativeFrom="margin">
              <wp:posOffset>2270760</wp:posOffset>
            </wp:positionV>
            <wp:extent cx="1121410" cy="201295"/>
            <wp:wrapNone/>
            <wp:docPr id="3" name="Shape 3"/>
            <a:graphic xmlns:a="http://schemas.openxmlformats.org/drawingml/2006/main">
              <a:graphicData uri="http://schemas.openxmlformats.org/drawingml/2006/picture">
                <pic:pic xmlns:pic="http://schemas.openxmlformats.org/drawingml/2006/picture">
                  <pic:nvPicPr>
                    <pic:cNvPr id="4" name="Picture box 4"/>
                    <pic:cNvPicPr/>
                  </pic:nvPicPr>
                  <pic:blipFill>
                    <a:blip r:embed="rId7"/>
                    <a:stretch/>
                  </pic:blipFill>
                  <pic:spPr>
                    <a:xfrm>
                      <a:ext cx="1121410" cy="201295"/>
                    </a:xfrm>
                    <a:prstGeom prst="rect"/>
                  </pic:spPr>
                </pic:pic>
              </a:graphicData>
            </a:graphic>
          </wp:anchor>
        </w:drawing>
      </w:r>
      <w:r>
        <w:drawing>
          <wp:anchor distT="0" distB="0" distL="0" distR="0" simplePos="0" relativeHeight="62914692" behindDoc="1" locked="0" layoutInCell="1" allowOverlap="1">
            <wp:simplePos x="0" y="0"/>
            <wp:positionH relativeFrom="page">
              <wp:posOffset>727075</wp:posOffset>
            </wp:positionH>
            <wp:positionV relativeFrom="margin">
              <wp:posOffset>3081655</wp:posOffset>
            </wp:positionV>
            <wp:extent cx="2597150" cy="182880"/>
            <wp:wrapNone/>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9"/>
                    <a:stretch/>
                  </pic:blipFill>
                  <pic:spPr>
                    <a:xfrm>
                      <a:ext cx="2597150" cy="182880"/>
                    </a:xfrm>
                    <a:prstGeom prst="rect"/>
                  </pic:spPr>
                </pic:pic>
              </a:graphicData>
            </a:graphic>
          </wp:anchor>
        </w:drawing>
      </w:r>
      <w:r>
        <w:drawing>
          <wp:anchor distT="0" distB="0" distL="0" distR="0" simplePos="0" relativeHeight="62914693" behindDoc="1" locked="0" layoutInCell="1" allowOverlap="1">
            <wp:simplePos x="0" y="0"/>
            <wp:positionH relativeFrom="page">
              <wp:posOffset>717550</wp:posOffset>
            </wp:positionH>
            <wp:positionV relativeFrom="margin">
              <wp:posOffset>9262745</wp:posOffset>
            </wp:positionV>
            <wp:extent cx="1517650" cy="286385"/>
            <wp:wrapNone/>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11"/>
                    <a:stretch/>
                  </pic:blipFill>
                  <pic:spPr>
                    <a:xfrm>
                      <a:ext cx="1517650" cy="28638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37" w:line="1" w:lineRule="exact"/>
      </w:pPr>
    </w:p>
    <w:p>
      <w:pPr>
        <w:widowControl w:val="0"/>
        <w:spacing w:line="1" w:lineRule="exact"/>
        <w:sectPr>
          <w:footerReference w:type="default" r:id="rId13"/>
          <w:footnotePr>
            <w:pos w:val="pageBottom"/>
            <w:numFmt w:val="decimal"/>
            <w:numRestart w:val="continuous"/>
          </w:footnotePr>
          <w:pgSz w:w="11900" w:h="16840"/>
          <w:pgMar w:top="284" w:right="546" w:bottom="1216" w:left="1106" w:header="0" w:footer="3" w:gutter="0"/>
          <w:pgNumType w:start="1"/>
          <w:cols w:space="720"/>
          <w:noEndnote/>
          <w:rtlGutter w:val="0"/>
          <w:docGrid w:linePitch="360"/>
        </w:sectPr>
      </w:pPr>
    </w:p>
    <w:p>
      <w:pPr>
        <w:pStyle w:val="Style10"/>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об отклонении заявки ООО «МЕДИКЭЛ М» с идентификационным номером заявки 114012402.</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Заказчик в возражениях на жалобу:</w:t>
      </w:r>
    </w:p>
    <w:p>
      <w:pPr>
        <w:pStyle w:val="Style10"/>
        <w:keepNext w:val="0"/>
        <w:keepLines w:val="0"/>
        <w:widowControl w:val="0"/>
        <w:numPr>
          <w:ilvl w:val="0"/>
          <w:numId w:val="1"/>
        </w:numPr>
        <w:shd w:val="clear" w:color="auto" w:fill="auto"/>
        <w:tabs>
          <w:tab w:pos="933"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отрицал нарушения Закона в действиях аукционной комиссии;</w:t>
      </w:r>
    </w:p>
    <w:p>
      <w:pPr>
        <w:pStyle w:val="Style10"/>
        <w:keepNext w:val="0"/>
        <w:keepLines w:val="0"/>
        <w:widowControl w:val="0"/>
        <w:numPr>
          <w:ilvl w:val="0"/>
          <w:numId w:val="1"/>
        </w:numPr>
        <w:shd w:val="clear" w:color="auto" w:fill="auto"/>
        <w:tabs>
          <w:tab w:pos="933"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разъяснил причины отклонения заявки Заявителя на участие в аукционе;</w:t>
      </w:r>
    </w:p>
    <w:p>
      <w:pPr>
        <w:pStyle w:val="Style10"/>
        <w:keepNext w:val="0"/>
        <w:keepLines w:val="0"/>
        <w:widowControl w:val="0"/>
        <w:numPr>
          <w:ilvl w:val="0"/>
          <w:numId w:val="1"/>
        </w:numPr>
        <w:shd w:val="clear" w:color="auto" w:fill="auto"/>
        <w:tabs>
          <w:tab w:pos="933"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представил пояснения по доводу жалобы.</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ч.ч.1,3 ст.99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утвержденным Приказом ФАС России от 19.11.2014 №727/14, в ходе рассмотрения дела установлено следующее.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Извещение об осуществлении закупки размещено Заказчиком в Единой информационной системе в сфере закупок (далее — ЕИС) на официальном сайте \\л\л\-.хакирк1.до\'.ги 06.04.2023, согласно которому:</w:t>
      </w:r>
    </w:p>
    <w:p>
      <w:pPr>
        <w:pStyle w:val="Style10"/>
        <w:keepNext w:val="0"/>
        <w:keepLines w:val="0"/>
        <w:widowControl w:val="0"/>
        <w:numPr>
          <w:ilvl w:val="0"/>
          <w:numId w:val="1"/>
        </w:numPr>
        <w:shd w:val="clear" w:color="auto" w:fill="auto"/>
        <w:tabs>
          <w:tab w:pos="933"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установлены дата и время окончания подачи заявок - 14.04.2023 09:00 (МСК);</w:t>
      </w:r>
    </w:p>
    <w:p>
      <w:pPr>
        <w:pStyle w:val="Style10"/>
        <w:keepNext w:val="0"/>
        <w:keepLines w:val="0"/>
        <w:widowControl w:val="0"/>
        <w:numPr>
          <w:ilvl w:val="0"/>
          <w:numId w:val="1"/>
        </w:numPr>
        <w:shd w:val="clear" w:color="auto" w:fill="auto"/>
        <w:tabs>
          <w:tab w:pos="933" w:val="left"/>
        </w:tabs>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начальная (максимальная) цена контракта (НМЦК) составила 2 690 000,00 рублей.</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доводу жалобы, аукционная комиссия Заказчика неправомерно признала заявку ООО «МЕДИКЭЛ М» не соответствующей требованиям извещения.</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силу ч. 1 ст. 27 Закона участие в определении поставщиков (подрядчиков, исполнителей) может быть ограничено только в случаях, предусмотренных настоящим Федеральным законом. Отклонение заявки на участие в закупке по основаниям, не предусмотренным настоящим Федеральным законом, не допускается.</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Пунктом 2 ч. 1 ст.43 Закона установлено, что заявка на участие в закупке, если иное не предусмотрено настоящим Федеральным законом, должна содержать предложение участника закупки в отношении объекта закупки с учетом положений части 2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настоящего Федерального закона, товарный знак (при наличии у товара товарного знака).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 основании ч. 5 ст. 49 Закона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10"/>
        <w:keepNext w:val="0"/>
        <w:keepLines w:val="0"/>
        <w:widowControl w:val="0"/>
        <w:shd w:val="clear" w:color="auto" w:fill="auto"/>
        <w:tabs>
          <w:tab w:pos="9917"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1) члены комиссии по осуществлению закупок: а)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w:t>
        <w:tab/>
        <w:t>об</w:t>
      </w:r>
    </w:p>
    <w:p>
      <w:pPr>
        <w:pStyle w:val="Style10"/>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отклонении заявки на участие в закупке по основаниям, предусмотренным пунктами 1 - 8 части 12 статьи 48 настоящего Федерального закона;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 xml:space="preserve">б) 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w:t>
      </w:r>
      <w:r>
        <w:rPr>
          <w:color w:val="000000"/>
          <w:spacing w:val="0"/>
          <w:w w:val="100"/>
          <w:position w:val="0"/>
          <w:sz w:val="24"/>
          <w:szCs w:val="24"/>
          <w:shd w:val="clear" w:color="auto" w:fill="auto"/>
          <w:lang w:val="ru-RU" w:eastAsia="ru-RU" w:bidi="ru-RU"/>
        </w:rPr>
        <w:t>первый номер;</w:t>
      </w:r>
    </w:p>
    <w:p>
      <w:pPr>
        <w:pStyle w:val="Style10"/>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10"/>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Пунктом 1 ч. 12 ст. 48 Закона определено, что при рассмотрении первых частей заявок на участие в закупке соответствующая заявка подлежит отклонению в случаях 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10"/>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 xml:space="preserve">Согласно протоколу подведения итогов определения поставщика (подрядчика, исполнителя) от 18.04.2023 №ИЭА1, заявка ООО «МЕДИКЭЛ М» отклонена при следующем обосновании: </w:t>
      </w:r>
      <w:r>
        <w:rPr>
          <w:i/>
          <w:iCs/>
          <w:color w:val="000000"/>
          <w:spacing w:val="0"/>
          <w:w w:val="100"/>
          <w:position w:val="0"/>
          <w:sz w:val="24"/>
          <w:szCs w:val="24"/>
          <w:shd w:val="clear" w:color="auto" w:fill="auto"/>
          <w:lang w:val="ru-RU" w:eastAsia="ru-RU" w:bidi="ru-RU"/>
        </w:rPr>
        <w:t>«На основании подпункта «а» пункта 1 части 5 статьи 49 и пункта 8 части 12 статьи 48 Федерального закона от 05.04.2013 г. № 44-ФЗ «О контрактной системе в сфере закупок товаров, работ, услуг для обеспечения государственных и муниципальных нужд» отклонить заявку участника ввиду наличия в ней недостоверных сведений».</w:t>
      </w:r>
    </w:p>
    <w:p>
      <w:pPr>
        <w:pStyle w:val="Style10"/>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Согласно Описанию объекта закупки, Заказчику к поставке требуется «Аппарат «Искусственная почка», установлены характеристики товара, в том числе:</w:t>
      </w:r>
    </w:p>
    <w:p>
      <w:pPr>
        <w:pStyle w:val="Style10"/>
        <w:keepNext w:val="0"/>
        <w:keepLines w:val="0"/>
        <w:widowControl w:val="0"/>
        <w:numPr>
          <w:ilvl w:val="0"/>
          <w:numId w:val="3"/>
        </w:numPr>
        <w:shd w:val="clear" w:color="auto" w:fill="auto"/>
        <w:tabs>
          <w:tab w:pos="989" w:val="left"/>
        </w:tabs>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«Объемы используемых насосом шприцев: 10 мл, 20 мл, 30 мл»,</w:t>
      </w:r>
    </w:p>
    <w:p>
      <w:pPr>
        <w:pStyle w:val="Style10"/>
        <w:keepNext w:val="0"/>
        <w:keepLines w:val="0"/>
        <w:widowControl w:val="0"/>
        <w:numPr>
          <w:ilvl w:val="0"/>
          <w:numId w:val="3"/>
        </w:numPr>
        <w:shd w:val="clear" w:color="auto" w:fill="auto"/>
        <w:tabs>
          <w:tab w:pos="989" w:val="left"/>
        </w:tabs>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«Срок службы аккумуляторов до замены (интервал замены): 4 года»,</w:t>
      </w:r>
    </w:p>
    <w:p>
      <w:pPr>
        <w:pStyle w:val="Style10"/>
        <w:keepNext w:val="0"/>
        <w:keepLines w:val="0"/>
        <w:widowControl w:val="0"/>
        <w:numPr>
          <w:ilvl w:val="0"/>
          <w:numId w:val="3"/>
        </w:numPr>
        <w:shd w:val="clear" w:color="auto" w:fill="auto"/>
        <w:tabs>
          <w:tab w:pos="989" w:val="left"/>
        </w:tabs>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«Время работы аппарата от блока резервного питания: 40 минут».</w:t>
      </w:r>
    </w:p>
    <w:p>
      <w:pPr>
        <w:pStyle w:val="Style10"/>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Заявителем предложен к поставке товар «Аппарат для гемодиализа 8^8-6000», регистрационное удостоверение № РЗН 2022/18441 от 04.10.2022. Заявка участника содержит следующие характеристики товара:</w:t>
      </w:r>
    </w:p>
    <w:p>
      <w:pPr>
        <w:pStyle w:val="Style10"/>
        <w:keepNext w:val="0"/>
        <w:keepLines w:val="0"/>
        <w:widowControl w:val="0"/>
        <w:numPr>
          <w:ilvl w:val="0"/>
          <w:numId w:val="3"/>
        </w:numPr>
        <w:shd w:val="clear" w:color="auto" w:fill="auto"/>
        <w:tabs>
          <w:tab w:pos="994" w:val="left"/>
        </w:tabs>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«Объемы используемых насосом шприцев: 10 мл, 20 мл, 30 мл»,</w:t>
      </w:r>
    </w:p>
    <w:p>
      <w:pPr>
        <w:pStyle w:val="Style10"/>
        <w:keepNext w:val="0"/>
        <w:keepLines w:val="0"/>
        <w:widowControl w:val="0"/>
        <w:numPr>
          <w:ilvl w:val="0"/>
          <w:numId w:val="3"/>
        </w:numPr>
        <w:shd w:val="clear" w:color="auto" w:fill="auto"/>
        <w:tabs>
          <w:tab w:pos="994" w:val="left"/>
        </w:tabs>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«Срок службы аккумуляторов до замены (интервал замены): 4 года»,</w:t>
      </w:r>
    </w:p>
    <w:p>
      <w:pPr>
        <w:pStyle w:val="Style10"/>
        <w:keepNext w:val="0"/>
        <w:keepLines w:val="0"/>
        <w:widowControl w:val="0"/>
        <w:numPr>
          <w:ilvl w:val="0"/>
          <w:numId w:val="3"/>
        </w:numPr>
        <w:shd w:val="clear" w:color="auto" w:fill="auto"/>
        <w:tabs>
          <w:tab w:pos="994" w:val="left"/>
        </w:tabs>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«Время работы аппарата от блока резервного питания: 40 минут».</w:t>
      </w:r>
    </w:p>
    <w:p>
      <w:pPr>
        <w:pStyle w:val="Style10"/>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Однако, изучив заявку ООО «МЕДИКЭЛ М» аукционной комиссией Заказчика установлено, что согласно руководству пользователя на данное медицинское оборудование, размещенному на сайте Росздравнадзора &lt;&lt;11ир^/ш«хс1га\а1ас1хог.до\'.т&gt;» данное устройство имеет следующие параметры:</w:t>
      </w:r>
    </w:p>
    <w:p>
      <w:pPr>
        <w:pStyle w:val="Style10"/>
        <w:keepNext w:val="0"/>
        <w:keepLines w:val="0"/>
        <w:widowControl w:val="0"/>
        <w:numPr>
          <w:ilvl w:val="0"/>
          <w:numId w:val="3"/>
        </w:numPr>
        <w:shd w:val="clear" w:color="auto" w:fill="auto"/>
        <w:tabs>
          <w:tab w:pos="949" w:val="left"/>
        </w:tabs>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«Гепариновый насос: 20 мл шприц, максимальная скорость 1800 мл/ч, можно выбрать режим ГД без гепарина» (страница 19 Инструкции);</w:t>
      </w:r>
    </w:p>
    <w:p>
      <w:pPr>
        <w:pStyle w:val="Style10"/>
        <w:keepNext w:val="0"/>
        <w:keepLines w:val="0"/>
        <w:widowControl w:val="0"/>
        <w:numPr>
          <w:ilvl w:val="0"/>
          <w:numId w:val="3"/>
        </w:numPr>
        <w:shd w:val="clear" w:color="auto" w:fill="auto"/>
        <w:tabs>
          <w:tab w:pos="944" w:val="left"/>
        </w:tabs>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«Когда батарея работает, насос крови должен работать не менее 10 минут. Если он работает менее 10 минут, батарею следует заменить как можно скорее» (страница 87 Инструкции);</w:t>
      </w:r>
    </w:p>
    <w:p>
      <w:pPr>
        <w:pStyle w:val="Style10"/>
        <w:keepNext w:val="0"/>
        <w:keepLines w:val="0"/>
        <w:widowControl w:val="0"/>
        <w:numPr>
          <w:ilvl w:val="0"/>
          <w:numId w:val="3"/>
        </w:numPr>
        <w:shd w:val="clear" w:color="auto" w:fill="auto"/>
        <w:tabs>
          <w:tab w:pos="944" w:val="left"/>
        </w:tabs>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«Чтобы обеспечить бесперебойную работу аккумулятора, его следует заменять через 2 года» (страница 87 Инструкции).</w:t>
      </w:r>
    </w:p>
    <w:p>
      <w:pPr>
        <w:pStyle w:val="Style10"/>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В ходе рассмотрения дела представитель Заявителя пояснил, что при подаче заявки на участие в аукционе, руководствовался письмом производителя СВС Хемодиалисис Кеа Ко. ЛТД, в котором отражены характеристики товара, аналогичные характеристикам, указанным в составе заявки, а также в Описании объекта закупки.</w:t>
      </w:r>
    </w:p>
    <w:p>
      <w:pPr>
        <w:pStyle w:val="Style10"/>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Учитывая, что продекларированные в заявке участником закупки характеристики аппарата, а именно: объем используемых шприцов, срок службы аккумулятора до замены, а также время работы аппарата от блока резервного питания, не соответствуют информации, указанной в паспорте на данный товар, аукционной комиссией принято решение об отклонении заявки от участия в аукционе.</w:t>
      </w:r>
      <w:r>
        <w:br w:type="page"/>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Изучив представленную информацию, Комиссия приходит к следующему выводу.</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Постановлением Правительства Российской Федерации от 27.12.2012 № 1416 утверждены Правила государственной регистрации медицинских изделий, которые устанавливают порядок государственной регистрации медицинских изделий, подлежащих обращению на территории Российской Федерации (далее - Правила).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силу пункта 3 Правил государственная регистрация медицинских изделий осуществляется Федеральной службой по надзору в сфере здравоохранения (далее - Росздравнадзор).</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Документом, подтверждающим факт государственной регистрации медицинского изделия, является регистрационное удостоверение на медицинское изделие (пункт 6 Правил).</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подпунктом «г» пункта 10 Правил, для государственной регистрации медицинского изделия представляются следующие документы: эксплуатационная документация производителя (изготовителя) на медицинское изделие, в том числе, инструкция по применению или руководство по эксплуатации медицинского изделия.</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 этом инструкция по применению является официальным документом, содержащим информацию о медицинском изделии, необходимую и достаточную для его эффективного и безопасного медицинского применения, и предоставляется в составе регистрационного досье в Росздравнадзор в момент регистрации.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Учитывая изложенное, изучив сведения заявки ООО «МЕДИКЭЛ М», Комиссия соглашается с выводами, сделанными аукционной комиссией Заказчика. Указание участником закупки в составе заявки недостоверных сведений о предлагаемом товаре является основанием для отклонения такой заявки от участия в аукционе.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рассматриваемом случае аукционная комиссия Заказчика принимала решение на основании представленных участником документов и информации, размещенной на официальном сайте Федеральной службы по надзору в сфере здравоохранения в сроки, предусмотренные Законом.</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силу изложенного, довод жалобы Заявителя не нашел своего подтверждения.</w:t>
      </w:r>
    </w:p>
    <w:p>
      <w:pPr>
        <w:pStyle w:val="Style10"/>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На основании Постановления Правительства Российской Федерации от 26.08.2013 №728, в соответствии со ст.ст.99, 106 Закона,</w:t>
      </w:r>
    </w:p>
    <w:p>
      <w:pPr>
        <w:pStyle w:val="Style10"/>
        <w:keepNext w:val="0"/>
        <w:keepLines w:val="0"/>
        <w:widowControl w:val="0"/>
        <w:shd w:val="clear" w:color="auto" w:fill="auto"/>
        <w:bidi w:val="0"/>
        <w:spacing w:before="0" w:after="240" w:line="240" w:lineRule="auto"/>
        <w:ind w:left="0" w:right="0" w:firstLine="0"/>
        <w:jc w:val="center"/>
      </w:pPr>
      <w:r>
        <w:rPr>
          <w:color w:val="000000"/>
          <w:spacing w:val="0"/>
          <w:w w:val="100"/>
          <w:position w:val="0"/>
          <w:sz w:val="24"/>
          <w:szCs w:val="24"/>
          <w:shd w:val="clear" w:color="auto" w:fill="auto"/>
          <w:lang w:val="ru-RU" w:eastAsia="ru-RU" w:bidi="ru-RU"/>
        </w:rPr>
        <w:t>РЕШИЛА:</w:t>
      </w:r>
    </w:p>
    <w:p>
      <w:pPr>
        <w:pStyle w:val="Style10"/>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Признать жалобу ООО «МЕДИКЭЛ М» необоснованной.</w:t>
      </w:r>
    </w:p>
    <w:p>
      <w:pPr>
        <w:pStyle w:val="Style5"/>
        <w:keepNext w:val="0"/>
        <w:keepLines w:val="0"/>
        <w:widowControl w:val="0"/>
        <w:shd w:val="clear" w:color="auto" w:fill="auto"/>
        <w:bidi w:val="0"/>
        <w:spacing w:before="0" w:after="300" w:line="240" w:lineRule="auto"/>
        <w:ind w:left="0" w:right="0" w:firstLine="720"/>
        <w:jc w:val="both"/>
      </w:pPr>
      <w:r>
        <w:rPr>
          <w:color w:val="000000"/>
          <w:spacing w:val="0"/>
          <w:w w:val="100"/>
          <w:position w:val="0"/>
          <w:shd w:val="clear" w:color="auto" w:fill="auto"/>
          <w:lang w:val="ru-RU" w:eastAsia="ru-RU" w:bidi="ru-RU"/>
        </w:rPr>
        <w:t>В силу ч.9 ст.106 Закона решение может быть обжаловано в судебном порядке в течение трех месяцев со дня его принятия.</w:t>
      </w:r>
    </w:p>
    <w:p>
      <w:pPr>
        <w:pStyle w:val="Style10"/>
        <w:keepNext w:val="0"/>
        <w:keepLines w:val="0"/>
        <w:widowControl w:val="0"/>
        <w:shd w:val="clear" w:color="auto" w:fill="auto"/>
        <w:bidi w:val="0"/>
        <w:spacing w:before="0" w:after="120" w:line="240" w:lineRule="auto"/>
        <w:ind w:left="0" w:right="0" w:firstLine="0"/>
        <w:jc w:val="both"/>
      </w:pPr>
      <w:r>
        <mc:AlternateContent>
          <mc:Choice Requires="wps">
            <w:drawing>
              <wp:anchor distT="0" distB="938530" distL="376555" distR="116840" simplePos="0" relativeHeight="125829378" behindDoc="0" locked="0" layoutInCell="1" allowOverlap="1">
                <wp:simplePos x="0" y="0"/>
                <wp:positionH relativeFrom="page">
                  <wp:posOffset>6386830</wp:posOffset>
                </wp:positionH>
                <wp:positionV relativeFrom="paragraph">
                  <wp:posOffset>12700</wp:posOffset>
                </wp:positionV>
                <wp:extent cx="798830" cy="216535"/>
                <wp:wrapSquare wrapText="left"/>
                <wp:docPr id="11" name="Shape 11"/>
                <a:graphic xmlns:a="http://schemas.openxmlformats.org/drawingml/2006/main">
                  <a:graphicData uri="http://schemas.microsoft.com/office/word/2010/wordprocessingShape">
                    <wps:wsp>
                      <wps:cNvSpPr txBox="1"/>
                      <wps:spPr>
                        <a:xfrm>
                          <a:ext cx="798830" cy="21653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Т.С. Акопян</w:t>
                            </w:r>
                          </w:p>
                        </w:txbxContent>
                      </wps:txbx>
                      <wps:bodyPr wrap="none" lIns="0" tIns="0" rIns="0" bIns="0">
                        <a:noAutoFit/>
                      </wps:bodyPr>
                    </wps:wsp>
                  </a:graphicData>
                </a:graphic>
              </wp:anchor>
            </w:drawing>
          </mc:Choice>
          <mc:Fallback>
            <w:pict>
              <v:shape id="_x0000_s1037" type="#_x0000_t202" style="position:absolute;margin-left:502.90000000000003pt;margin-top:1.pt;width:62.899999999999999pt;height:17.050000000000001pt;z-index:-125829375;mso-wrap-distance-left:29.650000000000002pt;mso-wrap-distance-right:9.2000000000000011pt;mso-wrap-distance-bottom:73.900000000000006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Т.С. Акопян</w:t>
                      </w:r>
                    </w:p>
                  </w:txbxContent>
                </v:textbox>
                <w10:wrap type="square" side="left" anchorx="page"/>
              </v:shape>
            </w:pict>
          </mc:Fallback>
        </mc:AlternateContent>
      </w:r>
      <w:r>
        <mc:AlternateContent>
          <mc:Choice Requires="wps">
            <w:drawing>
              <wp:anchor distT="938530" distB="0" distL="114300" distR="114300" simplePos="0" relativeHeight="125829380" behindDoc="0" locked="0" layoutInCell="1" allowOverlap="1">
                <wp:simplePos x="0" y="0"/>
                <wp:positionH relativeFrom="page">
                  <wp:posOffset>6124575</wp:posOffset>
                </wp:positionH>
                <wp:positionV relativeFrom="paragraph">
                  <wp:posOffset>951230</wp:posOffset>
                </wp:positionV>
                <wp:extent cx="1063625" cy="216535"/>
                <wp:wrapSquare wrapText="left"/>
                <wp:docPr id="13" name="Shape 13"/>
                <a:graphic xmlns:a="http://schemas.openxmlformats.org/drawingml/2006/main">
                  <a:graphicData uri="http://schemas.microsoft.com/office/word/2010/wordprocessingShape">
                    <wps:wsp>
                      <wps:cNvSpPr txBox="1"/>
                      <wps:spPr>
                        <a:xfrm>
                          <a:ext cx="1063625" cy="21653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С.А. Евстратова</w:t>
                            </w:r>
                          </w:p>
                        </w:txbxContent>
                      </wps:txbx>
                      <wps:bodyPr wrap="none" lIns="0" tIns="0" rIns="0" bIns="0">
                        <a:noAutoFit/>
                      </wps:bodyPr>
                    </wps:wsp>
                  </a:graphicData>
                </a:graphic>
              </wp:anchor>
            </w:drawing>
          </mc:Choice>
          <mc:Fallback>
            <w:pict>
              <v:shape id="_x0000_s1039" type="#_x0000_t202" style="position:absolute;margin-left:482.25pt;margin-top:74.900000000000006pt;width:83.75pt;height:17.050000000000001pt;z-index:-125829373;mso-wrap-distance-left:9.pt;mso-wrap-distance-top:73.900000000000006pt;mso-wrap-distance-right:9.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С.А. Евстратова</w:t>
                      </w:r>
                    </w:p>
                  </w:txbxContent>
                </v:textbox>
                <w10:wrap type="square" side="left" anchorx="page"/>
              </v:shape>
            </w:pict>
          </mc:Fallback>
        </mc:AlternateContent>
      </w:r>
      <w:r>
        <w:rPr>
          <w:color w:val="000000"/>
          <w:spacing w:val="0"/>
          <w:w w:val="100"/>
          <w:position w:val="0"/>
          <w:sz w:val="24"/>
          <w:szCs w:val="24"/>
          <w:shd w:val="clear" w:color="auto" w:fill="auto"/>
          <w:lang w:val="ru-RU" w:eastAsia="ru-RU" w:bidi="ru-RU"/>
        </w:rPr>
        <w:t>Председатель комиссии</w:t>
      </w:r>
    </w:p>
    <w:p>
      <w:pPr>
        <w:pStyle w:val="Style16"/>
        <w:keepNext w:val="0"/>
        <w:keepLines w:val="0"/>
        <w:widowControl w:val="0"/>
        <w:shd w:val="clear" w:color="auto" w:fill="auto"/>
        <w:bidi w:val="0"/>
        <w:spacing w:before="0" w:line="240" w:lineRule="auto"/>
        <w:ind w:right="0" w:firstLine="0"/>
        <w:jc w:val="both"/>
      </w:pPr>
      <w:r>
        <w:rPr>
          <w:spacing w:val="0"/>
          <w:w w:val="100"/>
          <w:position w:val="0"/>
          <w:shd w:val="clear" w:color="auto" w:fill="auto"/>
          <w:lang w:val="ru-RU" w:eastAsia="ru-RU" w:bidi="ru-RU"/>
        </w:rPr>
        <w:t>Мест для подписи</w:t>
      </w:r>
    </w:p>
    <w:p>
      <w:pPr>
        <w:pStyle w:val="Style18"/>
        <w:keepNext/>
        <w:keepLines/>
        <w:widowControl w:val="0"/>
        <w:shd w:val="clear" w:color="auto" w:fill="auto"/>
        <w:bidi w:val="0"/>
        <w:spacing w:before="0" w:line="240" w:lineRule="auto"/>
        <w:ind w:right="0" w:firstLine="0"/>
        <w:jc w:val="both"/>
      </w:pPr>
      <w:bookmarkStart w:id="0" w:name="bookmark0"/>
      <w:r>
        <w:rPr>
          <w:spacing w:val="0"/>
          <w:w w:val="100"/>
          <w:position w:val="0"/>
          <w:shd w:val="clear" w:color="auto" w:fill="auto"/>
          <w:lang w:val="ru-RU" w:eastAsia="ru-RU" w:bidi="ru-RU"/>
        </w:rPr>
        <w:t>Акопян Т. С-</w:t>
      </w:r>
      <w:bookmarkEnd w:id="0"/>
    </w:p>
    <w:p>
      <w:pPr>
        <w:pStyle w:val="Style10"/>
        <w:keepNext w:val="0"/>
        <w:keepLines w:val="0"/>
        <w:widowControl w:val="0"/>
        <w:shd w:val="clear" w:color="auto" w:fill="auto"/>
        <w:bidi w:val="0"/>
        <w:spacing w:before="0" w:after="12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p>
      <w:pPr>
        <w:pStyle w:val="Style16"/>
        <w:keepNext w:val="0"/>
        <w:keepLines w:val="0"/>
        <w:widowControl w:val="0"/>
        <w:shd w:val="clear" w:color="auto" w:fill="auto"/>
        <w:bidi w:val="0"/>
        <w:spacing w:before="0" w:line="240" w:lineRule="auto"/>
        <w:ind w:right="0" w:firstLine="0"/>
        <w:jc w:val="both"/>
      </w:pPr>
      <w:r>
        <w:rPr>
          <w:spacing w:val="0"/>
          <w:w w:val="100"/>
          <w:position w:val="0"/>
          <w:shd w:val="clear" w:color="auto" w:fill="auto"/>
          <w:lang w:val="ru-RU" w:eastAsia="ru-RU" w:bidi="ru-RU"/>
        </w:rPr>
        <w:t>Мсст дли подписи;</w:t>
      </w:r>
    </w:p>
    <w:p>
      <w:pPr>
        <w:pStyle w:val="Style18"/>
        <w:keepNext/>
        <w:keepLines/>
        <w:widowControl w:val="0"/>
        <w:shd w:val="clear" w:color="auto" w:fill="auto"/>
        <w:bidi w:val="0"/>
        <w:spacing w:before="0" w:after="520" w:line="240" w:lineRule="auto"/>
        <w:ind w:right="0" w:firstLine="0"/>
        <w:jc w:val="both"/>
      </w:pPr>
      <w:bookmarkStart w:id="2" w:name="bookmark2"/>
      <w:r>
        <w:rPr>
          <w:spacing w:val="0"/>
          <w:w w:val="100"/>
          <w:position w:val="0"/>
          <w:shd w:val="clear" w:color="auto" w:fill="auto"/>
          <w:lang w:val="ru-RU" w:eastAsia="ru-RU" w:bidi="ru-RU"/>
        </w:rPr>
        <w:t>Е вс г ра юна С- А.</w:t>
      </w:r>
      <w:bookmarkEnd w:id="2"/>
    </w:p>
    <w:p>
      <w:pPr>
        <w:pStyle w:val="Style10"/>
        <w:keepNext w:val="0"/>
        <w:keepLines w:val="0"/>
        <w:widowControl w:val="0"/>
        <w:shd w:val="clear" w:color="auto" w:fill="auto"/>
        <w:bidi w:val="0"/>
        <w:spacing w:before="0" w:after="120" w:line="240" w:lineRule="auto"/>
        <w:ind w:left="0" w:right="0" w:firstLine="0"/>
        <w:jc w:val="right"/>
      </w:pPr>
      <w:r>
        <w:rPr>
          <w:color w:val="000000"/>
          <w:spacing w:val="0"/>
          <w:w w:val="100"/>
          <w:position w:val="0"/>
          <w:sz w:val="24"/>
          <w:szCs w:val="24"/>
          <w:shd w:val="clear" w:color="auto" w:fill="auto"/>
          <w:lang w:val="ru-RU" w:eastAsia="ru-RU" w:bidi="ru-RU"/>
        </w:rPr>
        <w:t>В.А. Мардаровская</w:t>
      </w:r>
    </w:p>
    <w:p>
      <w:pPr>
        <w:pStyle w:val="Style16"/>
        <w:keepNext w:val="0"/>
        <w:keepLines w:val="0"/>
        <w:widowControl w:val="0"/>
        <w:shd w:val="clear" w:color="auto" w:fill="auto"/>
        <w:bidi w:val="0"/>
        <w:spacing w:before="0" w:line="240" w:lineRule="auto"/>
        <w:ind w:right="0" w:firstLine="0"/>
        <w:jc w:val="left"/>
      </w:pPr>
      <w:r>
        <w:rPr>
          <w:spacing w:val="0"/>
          <w:w w:val="100"/>
          <w:position w:val="0"/>
          <w:shd w:val="clear" w:color="auto" w:fill="auto"/>
          <w:lang w:val="ru-RU" w:eastAsia="ru-RU" w:bidi="ru-RU"/>
        </w:rPr>
        <w:t>Мссго для подписи:</w:t>
      </w:r>
    </w:p>
    <w:p>
      <w:pPr>
        <w:pStyle w:val="Style18"/>
        <w:keepNext/>
        <w:keepLines/>
        <w:widowControl w:val="0"/>
        <w:shd w:val="clear" w:color="auto" w:fill="auto"/>
        <w:bidi w:val="0"/>
        <w:spacing w:before="0" w:after="180" w:line="240" w:lineRule="auto"/>
        <w:ind w:right="0" w:firstLine="0"/>
        <w:jc w:val="left"/>
      </w:pPr>
      <w:bookmarkStart w:id="4" w:name="bookmark4"/>
      <w:r>
        <w:rPr>
          <w:spacing w:val="0"/>
          <w:w w:val="100"/>
          <w:position w:val="0"/>
          <w:shd w:val="clear" w:color="auto" w:fill="auto"/>
          <w:lang w:val="ru-RU" w:eastAsia="ru-RU" w:bidi="ru-RU"/>
        </w:rPr>
        <w:t>Мардаронская В. А.</w:t>
      </w:r>
      <w:bookmarkEnd w:id="4"/>
    </w:p>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Исп.Мардаровская В.А.</w:t>
      </w:r>
    </w:p>
    <w:p>
      <w:pPr>
        <w:pStyle w:val="Style5"/>
        <w:keepNext w:val="0"/>
        <w:keepLines w:val="0"/>
        <w:widowControl w:val="0"/>
        <w:shd w:val="clear" w:color="auto" w:fill="auto"/>
        <w:bidi w:val="0"/>
        <w:spacing w:before="0" w:line="240" w:lineRule="auto"/>
        <w:ind w:left="0" w:right="0" w:firstLine="0"/>
        <w:jc w:val="both"/>
      </w:pPr>
      <w:r>
        <w:rPr>
          <w:color w:val="000000"/>
          <w:spacing w:val="0"/>
          <w:w w:val="100"/>
          <w:position w:val="0"/>
          <w:shd w:val="clear" w:color="auto" w:fill="auto"/>
          <w:lang w:val="ru-RU" w:eastAsia="ru-RU" w:bidi="ru-RU"/>
        </w:rPr>
        <w:t>тел.(863)240-86-88. вн.161-134</w:t>
      </w:r>
    </w:p>
    <w:sectPr>
      <w:footerReference w:type="default" r:id="rId14"/>
      <w:footnotePr>
        <w:pos w:val="pageBottom"/>
        <w:numFmt w:val="decimal"/>
        <w:numRestart w:val="continuous"/>
      </w:footnotePr>
      <w:pgSz w:w="11900" w:h="16840"/>
      <w:pgMar w:top="1110" w:right="536" w:bottom="1179" w:left="1087" w:header="682"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9857740</wp:posOffset>
              </wp:positionV>
              <wp:extent cx="648970" cy="100330"/>
              <wp:wrapNone/>
              <wp:docPr id="9" name="Shape 9"/>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2023-8206</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35" type="#_x0000_t202" style="position:absolute;margin-left:57.pt;margin-top:776.20000000000005pt;width:51.10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2023-8206</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720725</wp:posOffset>
              </wp:positionH>
              <wp:positionV relativeFrom="page">
                <wp:posOffset>10016490</wp:posOffset>
              </wp:positionV>
              <wp:extent cx="648970" cy="100330"/>
              <wp:wrapNone/>
              <wp:docPr id="15" name="Shape 15"/>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2023-8206</w:t>
                          </w:r>
                        </w:p>
                      </w:txbxContent>
                    </wps:txbx>
                    <wps:bodyPr wrap="none" lIns="0" tIns="0" rIns="0" bIns="0">
                      <a:spAutoFit/>
                    </wps:bodyPr>
                  </wps:wsp>
                </a:graphicData>
              </a:graphic>
            </wp:anchor>
          </w:drawing>
        </mc:Choice>
        <mc:Fallback>
          <w:pict>
            <v:shape id="_x0000_s1041" type="#_x0000_t202" style="position:absolute;margin-left:56.75pt;margin-top:788.70000000000005pt;width:51.100000000000001pt;height:7.9000000000000004pt;z-index:-188744057;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2023-8206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460A3"/>
      <w:sz w:val="16"/>
      <w:szCs w:val="16"/>
      <w:u w:val="none"/>
    </w:rPr>
  </w:style>
  <w:style w:type="character" w:customStyle="1" w:styleId="CharStyle6">
    <w:name w:val="Основной текст (2)_"/>
    <w:basedOn w:val="DefaultParagraphFont"/>
    <w:link w:val="Style5"/>
    <w:rPr>
      <w:rFonts w:ascii="Times New Roman" w:eastAsia="Times New Roman" w:hAnsi="Times New Roman" w:cs="Times New Roman"/>
      <w:b w:val="0"/>
      <w:bCs w:val="0"/>
      <w:i w:val="0"/>
      <w:iCs w:val="0"/>
      <w:smallCaps w:val="0"/>
      <w:strike w:val="0"/>
      <w:sz w:val="18"/>
      <w:szCs w:val="18"/>
      <w:u w:val="none"/>
    </w:rPr>
  </w:style>
  <w:style w:type="character" w:customStyle="1" w:styleId="CharStyle9">
    <w:name w:val="Подпись к картинке_"/>
    <w:basedOn w:val="DefaultParagraphFont"/>
    <w:link w:val="Style8"/>
    <w:rPr>
      <w:rFonts w:ascii="Times New Roman" w:eastAsia="Times New Roman" w:hAnsi="Times New Roman" w:cs="Times New Roman"/>
      <w:b w:val="0"/>
      <w:bCs w:val="0"/>
      <w:i w:val="0"/>
      <w:iCs w:val="0"/>
      <w:smallCaps w:val="0"/>
      <w:strike w:val="0"/>
      <w:color w:val="4460A3"/>
      <w:sz w:val="18"/>
      <w:szCs w:val="18"/>
      <w:u w:val="none"/>
    </w:rPr>
  </w:style>
  <w:style w:type="character" w:customStyle="1" w:styleId="CharStyle11">
    <w:name w:val="Основной текст_"/>
    <w:basedOn w:val="DefaultParagraphFont"/>
    <w:link w:val="Style10"/>
    <w:rPr>
      <w:rFonts w:ascii="Times New Roman" w:eastAsia="Times New Roman" w:hAnsi="Times New Roman" w:cs="Times New Roman"/>
      <w:b w:val="0"/>
      <w:bCs w:val="0"/>
      <w:i w:val="0"/>
      <w:iCs w:val="0"/>
      <w:smallCaps w:val="0"/>
      <w:strike w:val="0"/>
      <w:u w:val="none"/>
    </w:rPr>
  </w:style>
  <w:style w:type="character" w:customStyle="1" w:styleId="CharStyle13">
    <w:name w:val="Колонтитул (2)_"/>
    <w:basedOn w:val="DefaultParagraphFont"/>
    <w:link w:val="Style12"/>
    <w:rPr>
      <w:rFonts w:ascii="Times New Roman" w:eastAsia="Times New Roman" w:hAnsi="Times New Roman" w:cs="Times New Roman"/>
      <w:b w:val="0"/>
      <w:bCs w:val="0"/>
      <w:i w:val="0"/>
      <w:iCs w:val="0"/>
      <w:smallCaps w:val="0"/>
      <w:strike w:val="0"/>
      <w:sz w:val="20"/>
      <w:szCs w:val="20"/>
      <w:u w:val="none"/>
    </w:rPr>
  </w:style>
  <w:style w:type="character" w:customStyle="1" w:styleId="CharStyle17">
    <w:name w:val="Основной текст (4)_"/>
    <w:basedOn w:val="DefaultParagraphFont"/>
    <w:link w:val="Style16"/>
    <w:rPr>
      <w:rFonts w:ascii="Arial" w:eastAsia="Arial" w:hAnsi="Arial" w:cs="Arial"/>
      <w:b/>
      <w:bCs/>
      <w:i w:val="0"/>
      <w:iCs w:val="0"/>
      <w:smallCaps w:val="0"/>
      <w:strike w:val="0"/>
      <w:color w:val="838383"/>
      <w:sz w:val="20"/>
      <w:szCs w:val="20"/>
      <w:u w:val="none"/>
    </w:rPr>
  </w:style>
  <w:style w:type="character" w:customStyle="1" w:styleId="CharStyle19">
    <w:name w:val="Заголовок №1_"/>
    <w:basedOn w:val="DefaultParagraphFont"/>
    <w:link w:val="Style18"/>
    <w:rPr>
      <w:rFonts w:ascii="Arial" w:eastAsia="Arial" w:hAnsi="Arial" w:cs="Arial"/>
      <w:b/>
      <w:bCs/>
      <w:i w:val="0"/>
      <w:iCs w:val="0"/>
      <w:smallCaps w:val="0"/>
      <w:strike w:val="0"/>
      <w:color w:val="838383"/>
      <w:sz w:val="22"/>
      <w:szCs w:val="22"/>
      <w:u w:val="none"/>
    </w:rPr>
  </w:style>
  <w:style w:type="paragraph" w:customStyle="1" w:styleId="Style2">
    <w:name w:val="Основной текст (3)"/>
    <w:basedOn w:val="Normal"/>
    <w:link w:val="CharStyle3"/>
    <w:pPr>
      <w:widowControl w:val="0"/>
      <w:shd w:val="clear" w:color="auto" w:fill="auto"/>
      <w:spacing w:after="160" w:line="276" w:lineRule="auto"/>
      <w:jc w:val="center"/>
    </w:pPr>
    <w:rPr>
      <w:rFonts w:ascii="Times New Roman" w:eastAsia="Times New Roman" w:hAnsi="Times New Roman" w:cs="Times New Roman"/>
      <w:b w:val="0"/>
      <w:bCs w:val="0"/>
      <w:i w:val="0"/>
      <w:iCs w:val="0"/>
      <w:smallCaps w:val="0"/>
      <w:strike w:val="0"/>
      <w:color w:val="4460A3"/>
      <w:sz w:val="16"/>
      <w:szCs w:val="16"/>
      <w:u w:val="none"/>
    </w:rPr>
  </w:style>
  <w:style w:type="paragraph" w:customStyle="1" w:styleId="Style5">
    <w:name w:val="Основной текст (2)"/>
    <w:basedOn w:val="Normal"/>
    <w:link w:val="CharStyle6"/>
    <w:pPr>
      <w:widowControl w:val="0"/>
      <w:shd w:val="clear" w:color="auto" w:fill="auto"/>
      <w:spacing w:after="200"/>
    </w:pPr>
    <w:rPr>
      <w:rFonts w:ascii="Times New Roman" w:eastAsia="Times New Roman" w:hAnsi="Times New Roman" w:cs="Times New Roman"/>
      <w:b w:val="0"/>
      <w:bCs w:val="0"/>
      <w:i w:val="0"/>
      <w:iCs w:val="0"/>
      <w:smallCaps w:val="0"/>
      <w:strike w:val="0"/>
      <w:sz w:val="18"/>
      <w:szCs w:val="18"/>
      <w:u w:val="none"/>
    </w:rPr>
  </w:style>
  <w:style w:type="paragraph" w:customStyle="1" w:styleId="Style8">
    <w:name w:val="Подпись к картинке"/>
    <w:basedOn w:val="Normal"/>
    <w:link w:val="CharStyle9"/>
    <w:pPr>
      <w:widowControl w:val="0"/>
      <w:shd w:val="clear" w:color="auto" w:fill="auto"/>
    </w:pPr>
    <w:rPr>
      <w:rFonts w:ascii="Times New Roman" w:eastAsia="Times New Roman" w:hAnsi="Times New Roman" w:cs="Times New Roman"/>
      <w:b w:val="0"/>
      <w:bCs w:val="0"/>
      <w:i w:val="0"/>
      <w:iCs w:val="0"/>
      <w:smallCaps w:val="0"/>
      <w:strike w:val="0"/>
      <w:color w:val="4460A3"/>
      <w:sz w:val="18"/>
      <w:szCs w:val="18"/>
      <w:u w:val="none"/>
    </w:rPr>
  </w:style>
  <w:style w:type="paragraph" w:customStyle="1" w:styleId="Style10">
    <w:name w:val="Основной текст"/>
    <w:basedOn w:val="Normal"/>
    <w:link w:val="CharStyle11"/>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2">
    <w:name w:val="Колонтитул (2)"/>
    <w:basedOn w:val="Normal"/>
    <w:link w:val="CharStyle1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6">
    <w:name w:val="Основной текст (4)"/>
    <w:basedOn w:val="Normal"/>
    <w:link w:val="CharStyle17"/>
    <w:pPr>
      <w:widowControl w:val="0"/>
      <w:shd w:val="clear" w:color="auto" w:fill="auto"/>
      <w:spacing w:after="120"/>
      <w:ind w:left="3480"/>
    </w:pPr>
    <w:rPr>
      <w:rFonts w:ascii="Arial" w:eastAsia="Arial" w:hAnsi="Arial" w:cs="Arial"/>
      <w:b/>
      <w:bCs/>
      <w:i w:val="0"/>
      <w:iCs w:val="0"/>
      <w:smallCaps w:val="0"/>
      <w:strike w:val="0"/>
      <w:color w:val="838383"/>
      <w:sz w:val="20"/>
      <w:szCs w:val="20"/>
      <w:u w:val="none"/>
    </w:rPr>
  </w:style>
  <w:style w:type="paragraph" w:customStyle="1" w:styleId="Style18">
    <w:name w:val="Заголовок №1"/>
    <w:basedOn w:val="Normal"/>
    <w:link w:val="CharStyle19"/>
    <w:pPr>
      <w:widowControl w:val="0"/>
      <w:shd w:val="clear" w:color="auto" w:fill="auto"/>
      <w:spacing w:after="420"/>
      <w:ind w:left="3480"/>
      <w:outlineLvl w:val="0"/>
    </w:pPr>
    <w:rPr>
      <w:rFonts w:ascii="Arial" w:eastAsia="Arial" w:hAnsi="Arial" w:cs="Arial"/>
      <w:b/>
      <w:bCs/>
      <w:i w:val="0"/>
      <w:iCs w:val="0"/>
      <w:smallCaps w:val="0"/>
      <w:strike w:val="0"/>
      <w:color w:val="838383"/>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image" Target="media/image3.jpeg"/><Relationship Id="rId10" Type="http://schemas.openxmlformats.org/officeDocument/2006/relationships/image" Target="media/image3.jpeg" TargetMode="External"/><Relationship Id="rId11" Type="http://schemas.openxmlformats.org/officeDocument/2006/relationships/image" Target="media/image4.jpeg"/><Relationship Id="rId12" Type="http://schemas.openxmlformats.org/officeDocument/2006/relationships/image" Target="media/image4.jpeg" TargetMode="External"/><Relationship Id="rId13" Type="http://schemas.openxmlformats.org/officeDocument/2006/relationships/footer" Target="footer1.xml"/><Relationship Id="rId14" Type="http://schemas.openxmlformats.org/officeDocument/2006/relationships/footer" Target="footer2.xml"/></Relationships>
</file>