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Курганской области</w:t>
      </w:r>
    </w:p>
    <w:p>
      <w:pPr>
        <w:pStyle w:val="Style5"/>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М. Горького, 40, г. Курган, 640020</w:t>
        <w:br/>
        <w:t>тел. (3522) 46-39-55, факс (3522) 46-39-85</w:t>
        <w:br/>
        <w:t>е-тай: 1о45@Га8.§оу.ги</w:t>
      </w:r>
    </w:p>
    <w:p>
      <w:pPr>
        <w:pStyle w:val="Style8"/>
        <w:keepNext w:val="0"/>
        <w:keepLines w:val="0"/>
        <w:widowControl w:val="0"/>
        <w:shd w:val="clear" w:color="auto" w:fill="auto"/>
        <w:tabs>
          <w:tab w:leader="underscore" w:pos="1762" w:val="left"/>
          <w:tab w:leader="underscore" w:pos="3931" w:val="left"/>
        </w:tabs>
        <w:bidi w:val="0"/>
        <w:spacing w:before="0" w:after="260" w:line="240" w:lineRule="auto"/>
        <w:ind w:left="0" w:right="0" w:firstLine="0"/>
        <w:jc w:val="left"/>
      </w:pPr>
      <w:r>
        <w:rPr>
          <w:b w:val="0"/>
          <w:bCs w:val="0"/>
          <w:spacing w:val="0"/>
          <w:w w:val="100"/>
          <w:position w:val="0"/>
          <w:shd w:val="clear" w:color="auto" w:fill="auto"/>
          <w:lang w:val="ru-RU" w:eastAsia="ru-RU" w:bidi="ru-RU"/>
        </w:rPr>
        <w:tab/>
        <w:t xml:space="preserve"> №</w:t>
        <w:tab/>
      </w:r>
    </w:p>
    <w:p>
      <w:pPr>
        <w:pStyle w:val="Style1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3"/>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Индивидуальный предприниматель Белякова Татьяна Леонидовна 9686874008@та11.ги</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Государственное бюджетное учреждение «Курганская областная детская клиническая больница имени Красного Креста»</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640008, г. Курган, пр. Конституции, д.</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38</w:t>
      </w:r>
    </w:p>
    <w:p>
      <w:pPr>
        <w:pStyle w:val="Style13"/>
        <w:keepNext w:val="0"/>
        <w:keepLines w:val="0"/>
        <w:widowControl w:val="0"/>
        <w:shd w:val="clear" w:color="auto" w:fill="auto"/>
        <w:bidi w:val="0"/>
        <w:spacing w:before="0" w:after="0" w:line="240" w:lineRule="auto"/>
        <w:ind w:left="0" w:right="0" w:firstLine="0"/>
        <w:jc w:val="left"/>
        <w:sectPr>
          <w:footerReference w:type="default" r:id="rId9"/>
          <w:footerReference w:type="first" r:id="rId10"/>
          <w:footnotePr>
            <w:pos w:val="pageBottom"/>
            <w:numFmt w:val="decimal"/>
            <w:numRestart w:val="continuous"/>
          </w:footnotePr>
          <w:pgSz w:w="11900" w:h="16840"/>
          <w:pgMar w:top="284" w:right="920" w:bottom="1250" w:left="1140" w:header="0" w:footer="3" w:gutter="0"/>
          <w:pgNumType w:start="1"/>
          <w:cols w:num="2" w:space="720" w:equalWidth="0">
            <w:col w:w="4090" w:space="1176"/>
            <w:col w:w="4574"/>
          </w:cols>
          <w:noEndnote/>
          <w:titlePg/>
          <w:rtlGutter w:val="0"/>
          <w:docGrid w:linePitch="360"/>
        </w:sectPr>
      </w:pPr>
      <w:r>
        <w:rPr>
          <w:color w:val="000000"/>
          <w:spacing w:val="0"/>
          <w:w w:val="100"/>
          <w:position w:val="0"/>
          <w:shd w:val="clear" w:color="auto" w:fill="auto"/>
          <w:lang w:val="ru-RU" w:eastAsia="ru-RU" w:bidi="ru-RU"/>
        </w:rPr>
        <w:t>т@одЪ45.ги; хЪет@одЪ45.ги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6" w:after="8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84" w:right="0" w:bottom="1250" w:left="0" w:header="0" w:footer="3" w:gutter="0"/>
          <w:cols w:space="720"/>
          <w:noEndnote/>
          <w:rtlGutter w:val="0"/>
          <w:docGrid w:linePitch="360"/>
        </w:sectPr>
      </w:pPr>
    </w:p>
    <w:p>
      <w:pPr>
        <w:pStyle w:val="Style16"/>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hd w:val="clear" w:color="auto" w:fill="auto"/>
          <w:lang w:val="ru-RU" w:eastAsia="ru-RU" w:bidi="ru-RU"/>
        </w:rPr>
        <w:t>Решение № 045/06/106-215/2023</w:t>
      </w:r>
      <w:bookmarkEnd w:id="0"/>
    </w:p>
    <w:p>
      <w:pPr>
        <w:pStyle w:val="Style16"/>
        <w:keepNext/>
        <w:keepLines/>
        <w:widowControl w:val="0"/>
        <w:shd w:val="clear" w:color="auto" w:fill="auto"/>
        <w:bidi w:val="0"/>
        <w:spacing w:before="0" w:line="240" w:lineRule="auto"/>
        <w:ind w:left="0" w:right="0" w:firstLine="0"/>
        <w:jc w:val="center"/>
      </w:pPr>
      <w:r>
        <w:rPr>
          <w:color w:val="000000"/>
          <w:spacing w:val="0"/>
          <w:w w:val="100"/>
          <w:position w:val="0"/>
          <w:shd w:val="clear" w:color="auto" w:fill="auto"/>
          <w:lang w:val="ru-RU" w:eastAsia="ru-RU" w:bidi="ru-RU"/>
        </w:rPr>
        <w:t>по делу о нарушении законодательства о контрактной системе в сфере</w:t>
        <w:br/>
        <w:t>закупок</w:t>
      </w:r>
    </w:p>
    <w:p>
      <w:pPr>
        <w:pStyle w:val="Style13"/>
        <w:keepNext w:val="0"/>
        <w:keepLines w:val="0"/>
        <w:widowControl w:val="0"/>
        <w:shd w:val="clear" w:color="auto" w:fill="auto"/>
        <w:bidi w:val="0"/>
        <w:spacing w:before="0" w:after="28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6478270</wp:posOffset>
                </wp:positionH>
                <wp:positionV relativeFrom="paragraph">
                  <wp:posOffset>12700</wp:posOffset>
                </wp:positionV>
                <wp:extent cx="701040" cy="252730"/>
                <wp:wrapSquare wrapText="left"/>
                <wp:docPr id="7" name="Shape 7"/>
                <a:graphic xmlns:a="http://schemas.openxmlformats.org/drawingml/2006/main">
                  <a:graphicData uri="http://schemas.microsoft.com/office/word/2010/wordprocessingShape">
                    <wps:wsp>
                      <wps:cNvSpPr txBox="1"/>
                      <wps:spPr>
                        <a:xfrm>
                          <a:ext cx="701040" cy="2527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Курган</w:t>
                            </w:r>
                          </w:p>
                        </w:txbxContent>
                      </wps:txbx>
                      <wps:bodyPr wrap="none" lIns="0" tIns="0" rIns="0" bIns="0">
                        <a:noAutoFit/>
                      </wps:bodyPr>
                    </wps:wsp>
                  </a:graphicData>
                </a:graphic>
              </wp:anchor>
            </w:drawing>
          </mc:Choice>
          <mc:Fallback>
            <w:pict>
              <v:shape id="_x0000_s1033" type="#_x0000_t202" style="position:absolute;margin-left:510.10000000000002pt;margin-top:1.pt;width:55.200000000000003pt;height:19.900000000000002pt;z-index:-125829375;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Курган</w:t>
                      </w:r>
                    </w:p>
                  </w:txbxContent>
                </v:textbox>
                <w10:wrap type="square" side="left" anchorx="page"/>
              </v:shape>
            </w:pict>
          </mc:Fallback>
        </mc:AlternateContent>
      </w:r>
      <w:r>
        <w:rPr>
          <w:color w:val="000000"/>
          <w:spacing w:val="0"/>
          <w:w w:val="100"/>
          <w:position w:val="0"/>
          <w:shd w:val="clear" w:color="auto" w:fill="auto"/>
          <w:lang w:val="ru-RU" w:eastAsia="ru-RU" w:bidi="ru-RU"/>
        </w:rPr>
        <w:t>02.05.2023 г.</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Курганской области по контролю в сфере закупок на территории Курганской области (далее - Комиссия Курганского УФАС России) в составе:</w:t>
      </w:r>
    </w:p>
    <w:p>
      <w:pPr>
        <w:pStyle w:val="Style13"/>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 xml:space="preserve">Заместитель Председателя Комиссии - </w:t>
      </w:r>
      <w:r>
        <w:rPr>
          <w:color w:val="000000"/>
          <w:spacing w:val="0"/>
          <w:w w:val="100"/>
          <w:position w:val="0"/>
          <w:shd w:val="clear" w:color="auto" w:fill="auto"/>
          <w:lang w:val="ru-RU" w:eastAsia="ru-RU" w:bidi="ru-RU"/>
        </w:rPr>
        <w:t>Иванова А.В. - заместитель руководителя управления - начальник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16"/>
        <w:keepNext/>
        <w:keepLines/>
        <w:widowControl w:val="0"/>
        <w:shd w:val="clear" w:color="auto" w:fill="auto"/>
        <w:bidi w:val="0"/>
        <w:spacing w:before="0" w:after="0" w:line="240" w:lineRule="auto"/>
        <w:ind w:left="0" w:right="0" w:firstLine="740"/>
        <w:jc w:val="both"/>
      </w:pPr>
      <w:bookmarkStart w:id="3" w:name="bookmark3"/>
      <w:r>
        <w:rPr>
          <w:color w:val="000000"/>
          <w:spacing w:val="0"/>
          <w:w w:val="100"/>
          <w:position w:val="0"/>
          <w:shd w:val="clear" w:color="auto" w:fill="auto"/>
          <w:lang w:val="ru-RU" w:eastAsia="ru-RU" w:bidi="ru-RU"/>
        </w:rPr>
        <w:t>Члены Комиссии:</w:t>
      </w:r>
      <w:bookmarkEnd w:id="3"/>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Стрижова И.М. - заместитель начальника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Башкирова И.Г. - государственный инспектор отдела контроля товарных, финансовых рынков и рекламного законодательства Управления Федеральной антимонопольной службы по Курганской области;</w:t>
      </w:r>
    </w:p>
    <w:p>
      <w:pPr>
        <w:pStyle w:val="Style13"/>
        <w:keepNext w:val="0"/>
        <w:keepLines w:val="0"/>
        <w:widowControl w:val="0"/>
        <w:shd w:val="clear" w:color="auto" w:fill="auto"/>
        <w:bidi w:val="0"/>
        <w:spacing w:before="0" w:after="280" w:line="240" w:lineRule="auto"/>
        <w:ind w:left="0" w:right="0" w:firstLine="740"/>
        <w:jc w:val="both"/>
      </w:pPr>
      <w:r>
        <w:rPr>
          <w:color w:val="00000A"/>
          <w:spacing w:val="0"/>
          <w:w w:val="100"/>
          <w:position w:val="0"/>
          <w:shd w:val="clear" w:color="auto" w:fill="auto"/>
          <w:lang w:val="ru-RU" w:eastAsia="ru-RU" w:bidi="ru-RU"/>
        </w:rPr>
        <w:t xml:space="preserve">в присутствии представителя Заказчика - </w:t>
      </w:r>
      <w:r>
        <w:rPr>
          <w:color w:val="000000"/>
          <w:spacing w:val="0"/>
          <w:w w:val="100"/>
          <w:position w:val="0"/>
          <w:shd w:val="clear" w:color="auto" w:fill="auto"/>
          <w:lang w:val="ru-RU" w:eastAsia="ru-RU" w:bidi="ru-RU"/>
        </w:rPr>
        <w:t xml:space="preserve">Государственного бюджетного учреждения «Курганская областная больница имени Красного Креста» (далее - ГБУ «КОДКБ им. Красного Креста», Заказчик) </w:t>
      </w:r>
      <w:r>
        <w:rPr>
          <w:color w:val="00000A"/>
          <w:spacing w:val="0"/>
          <w:w w:val="100"/>
          <w:position w:val="0"/>
          <w:shd w:val="clear" w:color="auto" w:fill="auto"/>
          <w:lang w:val="ru-RU" w:eastAsia="ru-RU" w:bidi="ru-RU"/>
        </w:rPr>
        <w:t>- Журавкиной Е. М. (доверенность б/н от 30.11.2022 г.),</w:t>
      </w:r>
    </w:p>
    <w:p>
      <w:pPr>
        <w:pStyle w:val="Style19"/>
        <w:keepNext/>
        <w:keepLines/>
        <w:widowControl w:val="0"/>
        <w:shd w:val="clear" w:color="auto" w:fill="auto"/>
        <w:bidi w:val="0"/>
        <w:spacing w:before="0" w:line="240" w:lineRule="auto"/>
        <w:ind w:left="0" w:right="0" w:firstLine="0"/>
        <w:jc w:val="left"/>
      </w:pPr>
      <w:bookmarkStart w:id="5" w:name="bookmark5"/>
      <w:r>
        <w:rPr>
          <w:color w:val="000000"/>
          <w:spacing w:val="0"/>
          <w:w w:val="100"/>
          <w:position w:val="0"/>
          <w:shd w:val="clear" w:color="auto" w:fill="auto"/>
          <w:lang w:val="ru-RU" w:eastAsia="ru-RU" w:bidi="ru-RU"/>
        </w:rPr>
        <w:t>11111111111111 ИНН 1111</w:t>
      </w:r>
      <w:bookmarkEnd w:id="5"/>
    </w:p>
    <w:p>
      <w:pPr>
        <w:pStyle w:val="Style13"/>
        <w:keepNext w:val="0"/>
        <w:keepLines w:val="0"/>
        <w:widowControl w:val="0"/>
        <w:shd w:val="clear" w:color="auto" w:fill="auto"/>
        <w:bidi w:val="0"/>
        <w:spacing w:before="0" w:after="0" w:line="240" w:lineRule="auto"/>
        <w:ind w:left="0" w:right="0" w:firstLine="720"/>
        <w:jc w:val="both"/>
      </w:pPr>
      <w:r>
        <w:rPr>
          <w:color w:val="00000A"/>
          <w:spacing w:val="0"/>
          <w:w w:val="100"/>
          <w:position w:val="0"/>
          <w:shd w:val="clear" w:color="auto" w:fill="auto"/>
          <w:lang w:val="ru-RU" w:eastAsia="ru-RU" w:bidi="ru-RU"/>
        </w:rPr>
        <w:t>в отсутствии представителя Заявителя - Индивидуального предпринимателя Беляковой Татьяны Леонидовны (далее - ИП Белякова Т.Л., Заявитель) - о времени и месте рассмотрения жалобы извещен надлежащим образом, в том числе публично, путем размещения информации о времени и месте рассмотрения жалобы в Единой информационной системы в сфере закупок (далее - ЕИС), явку представителя не обеспечили, ходатайств о рассмотрении жалобы в отсутствие представителя не поступало,</w:t>
      </w:r>
    </w:p>
    <w:p>
      <w:pPr>
        <w:pStyle w:val="Style13"/>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 xml:space="preserve">рассмотрев жалобу </w:t>
      </w:r>
      <w:r>
        <w:rPr>
          <w:color w:val="00000A"/>
          <w:spacing w:val="0"/>
          <w:w w:val="100"/>
          <w:position w:val="0"/>
          <w:shd w:val="clear" w:color="auto" w:fill="auto"/>
          <w:lang w:val="ru-RU" w:eastAsia="ru-RU" w:bidi="ru-RU"/>
        </w:rPr>
        <w:t xml:space="preserve">ИП Беляковой Т.Л. на действия Заказчика - </w:t>
      </w:r>
      <w:r>
        <w:rPr>
          <w:color w:val="000000"/>
          <w:spacing w:val="0"/>
          <w:w w:val="100"/>
          <w:position w:val="0"/>
          <w:shd w:val="clear" w:color="auto" w:fill="auto"/>
          <w:lang w:val="ru-RU" w:eastAsia="ru-RU" w:bidi="ru-RU"/>
        </w:rPr>
        <w:t>ГБУ «КОДКБ им. Красного Креста» при осуществлении закупки путем проведения электронного аукциона на поставку реагентов для лабаратории (извещение № 0343200020123000083), и осуществив внеплановую проверку, руководствуясь статьями 99, 106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утвержденными Постановлением Правительства Российской Федерации от 01.10.2020 № 1576 (далее - Правила осуществления контроля в сфере закупок товаров, работ, услуг),</w:t>
      </w:r>
    </w:p>
    <w:p>
      <w:pPr>
        <w:pStyle w:val="Style16"/>
        <w:keepNext/>
        <w:keepLines/>
        <w:widowControl w:val="0"/>
        <w:shd w:val="clear" w:color="auto" w:fill="auto"/>
        <w:bidi w:val="0"/>
        <w:spacing w:before="0" w:line="240" w:lineRule="auto"/>
        <w:ind w:left="0" w:right="0" w:firstLine="0"/>
        <w:jc w:val="center"/>
      </w:pPr>
      <w:bookmarkStart w:id="7" w:name="bookmark7"/>
      <w:r>
        <w:rPr>
          <w:color w:val="000000"/>
          <w:spacing w:val="0"/>
          <w:w w:val="100"/>
          <w:position w:val="0"/>
          <w:shd w:val="clear" w:color="auto" w:fill="auto"/>
          <w:lang w:val="ru-RU" w:eastAsia="ru-RU" w:bidi="ru-RU"/>
        </w:rPr>
        <w:t>УСТАНОВИЛА:</w:t>
      </w:r>
      <w:bookmarkEnd w:id="7"/>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25.04.2023 г. в Курганское УФАС России поступила жалоба </w:t>
      </w:r>
      <w:r>
        <w:rPr>
          <w:color w:val="00000A"/>
          <w:spacing w:val="0"/>
          <w:w w:val="100"/>
          <w:position w:val="0"/>
          <w:shd w:val="clear" w:color="auto" w:fill="auto"/>
          <w:lang w:val="ru-RU" w:eastAsia="ru-RU" w:bidi="ru-RU"/>
        </w:rPr>
        <w:t xml:space="preserve">ИП Беляковой Т.Л. </w:t>
      </w:r>
      <w:r>
        <w:rPr>
          <w:color w:val="000000"/>
          <w:spacing w:val="0"/>
          <w:w w:val="100"/>
          <w:position w:val="0"/>
          <w:shd w:val="clear" w:color="auto" w:fill="auto"/>
          <w:lang w:val="ru-RU" w:eastAsia="ru-RU" w:bidi="ru-RU"/>
        </w:rPr>
        <w:t xml:space="preserve">(Рег. Номер 1704-ЭП/23) на действия Заказчика </w:t>
      </w:r>
      <w:r>
        <w:rPr>
          <w:color w:val="00000A"/>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ГБУ «КОДКБ им. Красного Креста» при осуществлении закупки путем проведения электронного аукциона на поставку реагентов для лабаратории (извещение № 0343200020123000083).</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мнению Заявителя, его права и законные интересы нарушены действиями комиссии по осуществлению закупок Заказчика, выразившимися в отклонении заявки Заявителя (идентификационный номер заявки - 114049795).</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указывает, что в составе заявки на участие были размещены документы, являющиеся неотъемлемой частью заявки участника закупки, представляющие собой копии регистрационных удостоверений на медицинские изделия по предложенным к поставке товарам, содержащие в себе наименование предложенных к поставке товаров.</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обязанность участника закупки не входит заполнение граф Описания объекта закупки. В целях исключения риска отклонения заявки, участник считает не вправе изменять наименование товара, установленное в Описании объекта закупки.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Заказчик не вправе определять форму и способ предоставления участником закупки необходимых сведений о предложенном к поставке товаре. Файлы копий регистрационных удостоверений в составе заявки, подписанные как «Позиция 1» и «Позиция 2» четко соотносились с нумерацией в Техническом задании, а указанные </w:t>
      </w:r>
      <w:r>
        <w:rPr>
          <w:color w:val="000000"/>
          <w:spacing w:val="0"/>
          <w:w w:val="100"/>
          <w:position w:val="0"/>
          <w:shd w:val="clear" w:color="auto" w:fill="auto"/>
          <w:lang w:val="ru-RU" w:eastAsia="ru-RU" w:bidi="ru-RU"/>
        </w:rPr>
        <w:t>в копиях регистрационных удостоверений сведения о наименованиях предложенных к поставке товаров, предоставляли исчерпывающую и достоверную информацию о товаре.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все необходимые сведения для однозначной идентификации предложенного к поставке товара, являются достоверными и исчерпывающими, однозначно предоставляющими полную информацию о предложенных к поставке товарах.</w:t>
      </w:r>
    </w:p>
    <w:p>
      <w:pPr>
        <w:pStyle w:val="Style13"/>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Руководствуясь административным регламентом по рассмотрению жалоб, утвержденным приказом Федеральной антимонопольной службы России от 19.11.2014 г. № 727/14, ст. 106 Закона о контрактной системе, Комиссией Курганского УФАС России установлено</w:t>
      </w:r>
      <w:r>
        <w:rPr>
          <w:color w:val="000000"/>
          <w:spacing w:val="0"/>
          <w:w w:val="100"/>
          <w:position w:val="0"/>
          <w:shd w:val="clear" w:color="auto" w:fill="auto"/>
          <w:lang w:val="ru-RU" w:eastAsia="ru-RU" w:bidi="ru-RU"/>
        </w:rPr>
        <w:t>, что 09.04.2023 г. в ЕИС опубликовано извещение о проведении электронного аукциона на поставку реагентов для лабаратории (извещение № 0343200020123000083).</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составляет 27 660 рублей 00 копеек.</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является ГБУ «КОДКБ им. Красного Креста».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момент рассмотрения жалобы по существу контракт не заключен.</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Оценивая доводы Заявителя, изложенные в жалобе, а также документы, представленные Заказчиком и приобщенные к материалам дела по рассмотрению жалобы, Комиссия Курганского УФАС России приходит к следующим выводам.</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статье 7 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Открытость и прозрачность информации, указанной в части 1 настоящей статьи, обеспечиваются, в частности, путем ее размещения в единой информационной системе.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 1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частью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w:t>
      </w:r>
      <w:r>
        <w:rPr>
          <w:color w:val="000000"/>
          <w:spacing w:val="0"/>
          <w:w w:val="100"/>
          <w:position w:val="0"/>
          <w:shd w:val="clear" w:color="auto" w:fill="auto"/>
          <w:lang w:val="ru-RU" w:eastAsia="ru-RU" w:bidi="ru-RU"/>
        </w:rPr>
        <w:t>том числе приводят к ограничению конкуренции, в частности к необоснованному ограничению числа участников закупок.</w:t>
      </w:r>
    </w:p>
    <w:p>
      <w:pPr>
        <w:pStyle w:val="Style13"/>
        <w:keepNext w:val="0"/>
        <w:keepLines w:val="0"/>
        <w:widowControl w:val="0"/>
        <w:shd w:val="clear" w:color="auto" w:fill="auto"/>
        <w:bidi w:val="0"/>
        <w:spacing w:before="0" w:after="0" w:line="240" w:lineRule="auto"/>
        <w:ind w:left="0" w:right="0" w:firstLine="820"/>
        <w:jc w:val="both"/>
      </w:pPr>
      <w:r>
        <w:rPr>
          <w:color w:val="000000"/>
          <w:spacing w:val="0"/>
          <w:w w:val="100"/>
          <w:position w:val="0"/>
          <w:shd w:val="clear" w:color="auto" w:fill="auto"/>
          <w:lang w:val="ru-RU" w:eastAsia="ru-RU" w:bidi="ru-RU"/>
        </w:rPr>
        <w:t>В силу части 1 статьи 9 Закона о контрактной системе, контрактная система в сфере закупок предусматривает осуществление деятельности заказчика, специализированной организации и контрольного органа в сфере закупок на профессиональной основе с привлечением квалифицированных специалистов, обладающих теоретическими знаниями и навыками в сфере закупок.</w:t>
      </w:r>
    </w:p>
    <w:p>
      <w:pPr>
        <w:pStyle w:val="Style13"/>
        <w:keepNext w:val="0"/>
        <w:keepLines w:val="0"/>
        <w:widowControl w:val="0"/>
        <w:shd w:val="clear" w:color="auto" w:fill="auto"/>
        <w:bidi w:val="0"/>
        <w:spacing w:before="0" w:after="0" w:line="240" w:lineRule="auto"/>
        <w:ind w:left="0" w:right="0" w:firstLine="820"/>
        <w:jc w:val="both"/>
      </w:pPr>
      <w:r>
        <w:rPr>
          <w:color w:val="000000"/>
          <w:spacing w:val="0"/>
          <w:w w:val="100"/>
          <w:position w:val="0"/>
          <w:shd w:val="clear" w:color="auto" w:fill="auto"/>
          <w:lang w:val="ru-RU" w:eastAsia="ru-RU" w:bidi="ru-RU"/>
        </w:rPr>
        <w:t>Согласно части 1 статьи 49 Закона о контактной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pPr>
        <w:pStyle w:val="Style13"/>
        <w:keepNext w:val="0"/>
        <w:keepLines w:val="0"/>
        <w:widowControl w:val="0"/>
        <w:shd w:val="clear" w:color="auto" w:fill="auto"/>
        <w:bidi w:val="0"/>
        <w:spacing w:before="0" w:after="320" w:line="240" w:lineRule="auto"/>
        <w:ind w:left="0" w:right="0" w:firstLine="820"/>
        <w:jc w:val="both"/>
      </w:pPr>
      <w:r>
        <w:rPr>
          <w:color w:val="000000"/>
          <w:spacing w:val="0"/>
          <w:w w:val="100"/>
          <w:position w:val="0"/>
          <w:shd w:val="clear" w:color="auto" w:fill="auto"/>
          <w:lang w:val="ru-RU" w:eastAsia="ru-RU" w:bidi="ru-RU"/>
        </w:rPr>
        <w:t>В соответствии с Описанием объекта закупки, Заказчику в рамках данного электронного аукциона требуется к поставки следующий товар:</w:t>
      </w:r>
    </w:p>
    <w:tbl>
      <w:tblPr>
        <w:tblOverlap w:val="never"/>
        <w:jc w:val="center"/>
        <w:tblLayout w:type="fixed"/>
      </w:tblPr>
      <w:tblGrid>
        <w:gridCol w:w="571"/>
        <w:gridCol w:w="2659"/>
        <w:gridCol w:w="5443"/>
        <w:gridCol w:w="917"/>
        <w:gridCol w:w="739"/>
      </w:tblGrid>
      <w:tr>
        <w:trPr>
          <w:trHeight w:val="562" w:hRule="exact"/>
        </w:trPr>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 п/п</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Наименование товара, Код КТРУ</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Функциональные, технические и качественные характеристики товара</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Ед.</w:t>
            </w:r>
          </w:p>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изм.</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Кол- во</w:t>
            </w:r>
          </w:p>
        </w:tc>
      </w:tr>
      <w:tr>
        <w:trPr>
          <w:trHeight w:val="4426" w:hRule="exact"/>
        </w:trPr>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1</w:t>
            </w: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Окрашивание по Романовскому ИВД, набор, 21.20.23.110-00005724</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Справочная информация согласно КТРУ:</w:t>
            </w:r>
          </w:p>
          <w:p>
            <w:pPr>
              <w:pStyle w:val="Style21"/>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Набор химических реактивов и других связанных с ними материалов для окраски по методике Романовского, Гимзы, Мая-Грюнвальда, Райта, Лейшмана, Дженнера или Филда (Котапо№ку, (псчта. Мау-Стг?п\уакк \\'к1д1и. кеЫппап. .1еппег или Г^е1ф, предназначенный для визуализации гематопоэтических клеток, хромосом, паразитов крови и/или других патогенов крови в биологическом/клиническом образце.</w:t>
            </w:r>
          </w:p>
          <w:p>
            <w:pPr>
              <w:pStyle w:val="Style21"/>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Характеристики по КТРУ:</w:t>
            </w:r>
          </w:p>
          <w:p>
            <w:pPr>
              <w:pStyle w:val="Style21"/>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Количество выполняемых тестов: &gt; 100 Штука Назначение: Для ручной постановки</w:t>
            </w:r>
          </w:p>
          <w:p>
            <w:pPr>
              <w:pStyle w:val="Style21"/>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Дополнительные функциональные, технические и качественные характеристики товара: Раствор красителя Азур-эозин</w:t>
            </w: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набор</w:t>
            </w:r>
          </w:p>
        </w:tc>
        <w:tc>
          <w:tcPr>
            <w:tcBorders>
              <w:top w:val="single" w:sz="4"/>
              <w:left w:val="single" w:sz="4"/>
              <w:righ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240"/>
              <w:jc w:val="left"/>
              <w:rPr>
                <w:sz w:val="24"/>
                <w:szCs w:val="24"/>
              </w:rPr>
            </w:pPr>
            <w:r>
              <w:rPr>
                <w:color w:val="000000"/>
                <w:spacing w:val="0"/>
                <w:w w:val="100"/>
                <w:position w:val="0"/>
                <w:sz w:val="24"/>
                <w:szCs w:val="24"/>
                <w:shd w:val="clear" w:color="auto" w:fill="auto"/>
                <w:lang w:val="ru-RU" w:eastAsia="ru-RU" w:bidi="ru-RU"/>
              </w:rPr>
              <w:t>21</w:t>
            </w:r>
          </w:p>
        </w:tc>
      </w:tr>
      <w:tr>
        <w:trPr>
          <w:trHeight w:val="3605" w:hRule="exact"/>
        </w:trPr>
        <w:tc>
          <w:tcPr>
            <w:tcBorders>
              <w:top w:val="single" w:sz="4"/>
              <w:left w:val="single" w:sz="4"/>
              <w:bottom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w:t>
            </w:r>
          </w:p>
        </w:tc>
        <w:tc>
          <w:tcPr>
            <w:tcBorders>
              <w:top w:val="single" w:sz="4"/>
              <w:left w:val="single" w:sz="4"/>
              <w:bottom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Май-Грюнвальда красящий раствор ИВД, 21.20.23.110-00006612</w:t>
            </w:r>
          </w:p>
        </w:tc>
        <w:tc>
          <w:tcPr>
            <w:tcBorders>
              <w:top w:val="single" w:sz="4"/>
              <w:left w:val="single" w:sz="4"/>
              <w:bottom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Справочная информация согласно КТРУ:</w:t>
            </w:r>
          </w:p>
          <w:p>
            <w:pPr>
              <w:pStyle w:val="Style21"/>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Май-Грюнвальда (Мау-Стг?п\уак1) красящий раствор, предназначенный для использования отдельно или в сочетании с другими растворами/красителями, для обнаружения тканевых структур и/или внутри-/внеклеточных элементов в биологическом/клиническом образце. Характеристики по КТРУ:</w:t>
            </w:r>
          </w:p>
          <w:p>
            <w:pPr>
              <w:pStyle w:val="Style2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Количество выполняемых тестов: &gt; 1000 Штука Назначение: Для ручной постановки</w:t>
            </w:r>
          </w:p>
          <w:p>
            <w:pPr>
              <w:pStyle w:val="Style2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Дополнительные функциональные, технические и качественные характеристики товара:</w:t>
            </w:r>
          </w:p>
          <w:p>
            <w:pPr>
              <w:pStyle w:val="Style2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Раствор фиксатора-краситель метиленового синего</w:t>
            </w:r>
          </w:p>
        </w:tc>
        <w:tc>
          <w:tcPr>
            <w:tcBorders>
              <w:top w:val="single" w:sz="4"/>
              <w:left w:val="single" w:sz="4"/>
              <w:bottom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упак.</w:t>
            </w:r>
          </w:p>
        </w:tc>
        <w:tc>
          <w:tcPr>
            <w:tcBorders>
              <w:top w:val="single" w:sz="4"/>
              <w:left w:val="single" w:sz="4"/>
              <w:bottom w:val="single" w:sz="4"/>
              <w:righ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240"/>
              <w:jc w:val="left"/>
              <w:rPr>
                <w:sz w:val="24"/>
                <w:szCs w:val="24"/>
              </w:rPr>
            </w:pPr>
            <w:r>
              <w:rPr>
                <w:color w:val="000000"/>
                <w:spacing w:val="0"/>
                <w:w w:val="100"/>
                <w:position w:val="0"/>
                <w:sz w:val="24"/>
                <w:szCs w:val="24"/>
                <w:shd w:val="clear" w:color="auto" w:fill="auto"/>
                <w:lang w:val="ru-RU" w:eastAsia="ru-RU" w:bidi="ru-RU"/>
              </w:rPr>
              <w:t>20</w:t>
            </w:r>
          </w:p>
        </w:tc>
      </w:tr>
    </w:tbl>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w:t>
      </w:r>
      <w:r>
        <w:rPr>
          <w:color w:val="000000"/>
          <w:spacing w:val="0"/>
          <w:w w:val="100"/>
          <w:position w:val="0"/>
          <w:shd w:val="clear" w:color="auto" w:fill="auto"/>
          <w:lang w:val="ru-RU" w:eastAsia="ru-RU" w:bidi="ru-RU"/>
        </w:rPr>
        <w:t xml:space="preserve"> пункту 3 части 2 статьи 42 </w:t>
      </w:r>
      <w:r>
        <w:rPr>
          <w:color w:val="000000"/>
          <w:spacing w:val="0"/>
          <w:w w:val="100"/>
          <w:position w:val="0"/>
          <w:shd w:val="clear" w:color="auto" w:fill="auto"/>
          <w:lang w:val="ru-RU" w:eastAsia="ru-RU" w:bidi="ru-RU"/>
        </w:rPr>
        <w:t>Закона о контрактной системе, извещение об осуществлении закупки, если иное не предусмотрено</w:t>
      </w:r>
      <w:r>
        <w:rPr>
          <w:color w:val="000000"/>
          <w:spacing w:val="0"/>
          <w:w w:val="100"/>
          <w:position w:val="0"/>
          <w:shd w:val="clear" w:color="auto" w:fill="auto"/>
          <w:lang w:val="ru-RU" w:eastAsia="ru-RU" w:bidi="ru-RU"/>
        </w:rPr>
        <w:t xml:space="preserve"> Законом</w:t>
      </w:r>
      <w:r>
        <w:rPr>
          <w:color w:val="000000"/>
          <w:spacing w:val="0"/>
          <w:w w:val="100"/>
          <w:position w:val="0"/>
          <w:shd w:val="clear" w:color="auto" w:fill="auto"/>
          <w:lang w:val="ru-RU" w:eastAsia="ru-RU" w:bidi="ru-RU"/>
        </w:rPr>
        <w:t xml:space="preserve"> о контрактной системе, должно содержать, в том числе электронный документ, содержащий требования к содержанию, составу заявки на участие в закупке в соответствии с настоящим Федеральным</w:t>
      </w:r>
      <w:r>
        <w:rPr>
          <w:color w:val="000000"/>
          <w:spacing w:val="0"/>
          <w:w w:val="100"/>
          <w:position w:val="0"/>
          <w:shd w:val="clear" w:color="auto" w:fill="auto"/>
          <w:lang w:val="ru-RU" w:eastAsia="ru-RU" w:bidi="ru-RU"/>
        </w:rPr>
        <w:t xml:space="preserve"> законом</w:t>
      </w:r>
      <w:r>
        <w:rPr>
          <w:color w:val="000000"/>
          <w:spacing w:val="0"/>
          <w:w w:val="100"/>
          <w:position w:val="0"/>
          <w:shd w:val="clear" w:color="auto" w:fill="auto"/>
          <w:lang w:val="ru-RU" w:eastAsia="ru-RU" w:bidi="ru-RU"/>
        </w:rPr>
        <w:t xml:space="preserve"> и инструкцию по ее заполнению.</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пункта 5 раздела II Инструкция по заполнению заявки на участие в закупке приложения к извещению по закупке «Требования к содержанию, составу заявки на участие в закупке и инструкция по ее заполнению (электронный аукцион)» (далее - Инструкция) установлено требование:</w:t>
      </w:r>
    </w:p>
    <w:p>
      <w:pPr>
        <w:pStyle w:val="Style13"/>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Наименование товара указывается в строгом соответствии с наименованием, указанном в регистрационном удостоверении на медицинское изделие. Регистрационное удостоверение на медицинское изделие должно быть выдано в соответствии с Федеральным законом от 21.11.2011 г. № 323-ФЗ «Об основах охраны здоровья граждан в Российской Федерации».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 0343200020123000083 от 24.04.2023 г., заявка Заявителя (идентификационный номер - 114049795) была отклонена комиссией по осуществлению закупок на основании следующего:</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«Непредставление информации и документов, предусмотренных извещением об осуществлении закупки (за исключением информации и документов, предусмотренных п. 2 и 3 ч. 6 ст. 43 Закона №44 ФЗ) (Отклонение по п. 1 ч. 12 ст. 48 Закона № 44-ФЗ): в заявке участника отсутствуют копии регистрационных удостоверений на медицинские изделия (в соответствии с Федеральным законом от 21.11.2011г. №323-Ф3 «Об основах охраны здоровья граждан в Российской Федерации»). Наименования медицинских изделий, указанных в регистрационных удостоверениях, не соответствуют наименованиям медицинских изделий, указанных в заявке участника закупки.».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пункта «а»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13"/>
        <w:keepNext w:val="0"/>
        <w:keepLines w:val="0"/>
        <w:widowControl w:val="0"/>
        <w:numPr>
          <w:ilvl w:val="0"/>
          <w:numId w:val="1"/>
        </w:numPr>
        <w:shd w:val="clear" w:color="auto" w:fill="auto"/>
        <w:tabs>
          <w:tab w:pos="108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w:t>
      </w:r>
      <w:r>
        <w:rPr>
          <w:color w:val="000000"/>
          <w:spacing w:val="0"/>
          <w:w w:val="100"/>
          <w:position w:val="0"/>
          <w:shd w:val="clear" w:color="auto" w:fill="auto"/>
          <w:lang w:val="ru-RU" w:eastAsia="ru-RU" w:bidi="ru-RU"/>
        </w:rPr>
        <w:t>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3"/>
        <w:keepNext w:val="0"/>
        <w:keepLines w:val="0"/>
        <w:widowControl w:val="0"/>
        <w:numPr>
          <w:ilvl w:val="0"/>
          <w:numId w:val="1"/>
        </w:numPr>
        <w:shd w:val="clear" w:color="auto" w:fill="auto"/>
        <w:tabs>
          <w:tab w:pos="108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3"/>
        <w:keepNext w:val="0"/>
        <w:keepLines w:val="0"/>
        <w:widowControl w:val="0"/>
        <w:numPr>
          <w:ilvl w:val="0"/>
          <w:numId w:val="1"/>
        </w:numPr>
        <w:shd w:val="clear" w:color="auto" w:fill="auto"/>
        <w:tabs>
          <w:tab w:pos="109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pPr>
        <w:pStyle w:val="Style13"/>
        <w:keepNext w:val="0"/>
        <w:keepLines w:val="0"/>
        <w:widowControl w:val="0"/>
        <w:numPr>
          <w:ilvl w:val="0"/>
          <w:numId w:val="1"/>
        </w:numPr>
        <w:shd w:val="clear" w:color="auto" w:fill="auto"/>
        <w:tabs>
          <w:tab w:pos="108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pPr>
        <w:pStyle w:val="Style13"/>
        <w:keepNext w:val="0"/>
        <w:keepLines w:val="0"/>
        <w:widowControl w:val="0"/>
        <w:numPr>
          <w:ilvl w:val="0"/>
          <w:numId w:val="1"/>
        </w:numPr>
        <w:shd w:val="clear" w:color="auto" w:fill="auto"/>
        <w:tabs>
          <w:tab w:pos="108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3"/>
        <w:keepNext w:val="0"/>
        <w:keepLines w:val="0"/>
        <w:widowControl w:val="0"/>
        <w:numPr>
          <w:ilvl w:val="0"/>
          <w:numId w:val="1"/>
        </w:numPr>
        <w:shd w:val="clear" w:color="auto" w:fill="auto"/>
        <w:tabs>
          <w:tab w:pos="109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пунктом 4 статьи 2 Федерального закона от 4 июня 2018 года К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3"/>
        <w:keepNext w:val="0"/>
        <w:keepLines w:val="0"/>
        <w:widowControl w:val="0"/>
        <w:numPr>
          <w:ilvl w:val="0"/>
          <w:numId w:val="1"/>
        </w:numPr>
        <w:shd w:val="clear" w:color="auto" w:fill="auto"/>
        <w:tabs>
          <w:tab w:pos="180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предусмотренных частью 6 статьи 45 настоящего Федерального закона;</w:t>
      </w:r>
    </w:p>
    <w:p>
      <w:pPr>
        <w:pStyle w:val="Style13"/>
        <w:keepNext w:val="0"/>
        <w:keepLines w:val="0"/>
        <w:widowControl w:val="0"/>
        <w:numPr>
          <w:ilvl w:val="0"/>
          <w:numId w:val="1"/>
        </w:numPr>
        <w:shd w:val="clear" w:color="auto" w:fill="auto"/>
        <w:tabs>
          <w:tab w:pos="108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в своей жалобе ссылается на неправомерное отклонение его заявки, по его мнению, полностью соответствующую требованиям извещения о проведении электронного аукциона.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Изучив заявку ИП Беляковой Т.Л., Комиссия Курганского УФАС России установила, что наименование товара, предлагаемого к поставке, заполнено Заявителем в соответствии с Описанием объекта закупки.</w:t>
      </w:r>
    </w:p>
    <w:p>
      <w:pPr>
        <w:pStyle w:val="Style13"/>
        <w:keepNext w:val="0"/>
        <w:keepLines w:val="0"/>
        <w:widowControl w:val="0"/>
        <w:shd w:val="clear" w:color="auto" w:fill="auto"/>
        <w:tabs>
          <w:tab w:pos="2563" w:val="left"/>
          <w:tab w:pos="4574" w:val="left"/>
          <w:tab w:pos="5059" w:val="left"/>
          <w:tab w:pos="6931" w:val="left"/>
          <w:tab w:pos="7416" w:val="left"/>
          <w:tab w:pos="922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составе заявки ИП Беляковой Т.Л. были предоставлены Регистрационное удостоверение №</w:t>
        <w:tab/>
        <w:t>РЗН 2016/3971</w:t>
        <w:tab/>
        <w:t>от</w:t>
        <w:tab/>
        <w:t>19.04.2016 г.</w:t>
        <w:tab/>
        <w:t>на</w:t>
        <w:tab/>
        <w:t>медицинское</w:t>
        <w:tab/>
        <w:t>изделие</w:t>
      </w:r>
    </w:p>
    <w:p>
      <w:pPr>
        <w:pStyle w:val="Style13"/>
        <w:keepNext w:val="0"/>
        <w:keepLines w:val="0"/>
        <w:widowControl w:val="0"/>
        <w:shd w:val="clear" w:color="auto" w:fill="auto"/>
        <w:tabs>
          <w:tab w:pos="2563" w:val="left"/>
          <w:tab w:pos="4574" w:val="left"/>
          <w:tab w:pos="5059" w:val="left"/>
          <w:tab w:pos="6931" w:val="left"/>
          <w:tab w:pos="7416" w:val="left"/>
          <w:tab w:pos="9221" w:val="left"/>
        </w:tabs>
        <w:bidi w:val="0"/>
        <w:spacing w:before="0" w:after="0" w:line="240" w:lineRule="auto"/>
        <w:ind w:left="0" w:right="0" w:firstLine="0"/>
        <w:jc w:val="both"/>
      </w:pPr>
      <w:r>
        <w:rPr>
          <w:color w:val="000000"/>
          <w:spacing w:val="0"/>
          <w:w w:val="100"/>
          <w:position w:val="0"/>
          <w:shd w:val="clear" w:color="auto" w:fill="auto"/>
          <w:lang w:val="ru-RU" w:eastAsia="ru-RU" w:bidi="ru-RU"/>
        </w:rPr>
        <w:t>«Краситель азур эозин по Романовскому «ГЕМСТАНДАРТ-Р»»; и Регистрационное удостоверение №</w:t>
        <w:tab/>
        <w:t>РЗН 2016/4340</w:t>
        <w:tab/>
        <w:t>от</w:t>
        <w:tab/>
        <w:t>28.06.2016 г.</w:t>
        <w:tab/>
        <w:t>на</w:t>
        <w:tab/>
        <w:t>медицинское</w:t>
        <w:tab/>
        <w:t xml:space="preserve">изделие </w:t>
      </w:r>
      <w:r>
        <w:rPr>
          <w:color w:val="000000"/>
          <w:spacing w:val="0"/>
          <w:w w:val="100"/>
          <w:position w:val="0"/>
          <w:shd w:val="clear" w:color="auto" w:fill="auto"/>
          <w:lang w:val="ru-RU" w:eastAsia="ru-RU" w:bidi="ru-RU"/>
        </w:rPr>
        <w:t>«Фиксатор-краситель эозин метиленовый синий по Май-Грюнвальду «ГЕМСТАНДАРТ-МГ» по ТУ 9398-102-13802020-2015».</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возражениям Заказчика, участник закупки в заявке обязан указать наименование товара, в строгом соответствии с наименованием, которое указано в регистрационном удостоверении на медицинское удостоверение.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Комиссия Курганского УФАС России отмечает, что принимая решение об участии в процедуре определения поставщика (подрядчика, исполнителя) и подавая соответствующую заявку, участник закупки несет риск наступления неблагоприятных для него последствий, предусмотренных</w:t>
      </w:r>
      <w:r>
        <w:rPr>
          <w:color w:val="000000"/>
          <w:spacing w:val="0"/>
          <w:w w:val="100"/>
          <w:position w:val="0"/>
          <w:shd w:val="clear" w:color="auto" w:fill="auto"/>
          <w:lang w:val="ru-RU" w:eastAsia="ru-RU" w:bidi="ru-RU"/>
        </w:rPr>
        <w:t xml:space="preserve"> Законом </w:t>
      </w:r>
      <w:r>
        <w:rPr>
          <w:color w:val="000000"/>
          <w:spacing w:val="0"/>
          <w:w w:val="100"/>
          <w:position w:val="0"/>
          <w:shd w:val="clear" w:color="auto" w:fill="auto"/>
          <w:lang w:val="ru-RU" w:eastAsia="ru-RU" w:bidi="ru-RU"/>
        </w:rPr>
        <w:t>о контрактной системе, в случае совершения им действий (бездействия), противоречащих требованиям извещения об осуществлении закупки или законодательства.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Следовательно, участник закупки, не реализовавший своего права на подачу запроса на разъяснения положений извещения об осуществления закупки (</w:t>
      </w:r>
      <w:r>
        <w:rPr>
          <w:color w:val="000000"/>
          <w:spacing w:val="0"/>
          <w:w w:val="100"/>
          <w:position w:val="0"/>
          <w:shd w:val="clear" w:color="auto" w:fill="auto"/>
          <w:lang w:val="ru-RU" w:eastAsia="ru-RU" w:bidi="ru-RU"/>
        </w:rPr>
        <w:t>часть 5</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 xml:space="preserve">статьи 42 </w:t>
      </w:r>
      <w:r>
        <w:rPr>
          <w:color w:val="000000"/>
          <w:spacing w:val="0"/>
          <w:w w:val="100"/>
          <w:position w:val="0"/>
          <w:shd w:val="clear" w:color="auto" w:fill="auto"/>
          <w:lang w:val="ru-RU" w:eastAsia="ru-RU" w:bidi="ru-RU"/>
        </w:rPr>
        <w:t>Закона о контрактной системе), а равно не обжаловавший положения извещения об осуществления закупки в контрольный орган, несет риск наступления негативных последствий. Таким образом, участник закупки был ознакомлен с указанными выше требованиями и выразил безусловное согласие на их соблюдение.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заполнении заявки, участники обязаны предоставлять информацию согласно требованиям Инструкции. Более того, подавая заявку, Заявитель выразил согласие касаемо всех требований извещения, таким образом, принимая на себя обязанность по заполнению заявки согласно пунктам Инструкции.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случае несогласия с Инструкцией по заполнению заявок, заявитель был вправе подать запрос на разъяснение и уточнить, является ли данный пункт (пункт 5) Инструкции существенным.</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Пунктом 3 статьи 454 </w:t>
      </w:r>
      <w:r>
        <w:rPr>
          <w:color w:val="000000"/>
          <w:spacing w:val="0"/>
          <w:w w:val="100"/>
          <w:position w:val="0"/>
          <w:shd w:val="clear" w:color="auto" w:fill="auto"/>
          <w:lang w:val="ru-RU" w:eastAsia="ru-RU" w:bidi="ru-RU"/>
        </w:rPr>
        <w:t>Гражданского кодекса Российской Федерации императивно установлено, что условие договора купли-продажи о товаре считается согласованным, если договор позволяет определить наименование и количество товара.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проанализировав извещение по закупке и приложения к нему, а также заявку ИП Беляковой Т.Л., Комиссия Курганского УФАС России пришла к выводу о том, что Заявителем в составе заявке было указано наименование товара не в соответствии с требованием, установленным Заказчиком в извещении, а именно указано наименование товара не в соответствии с регистрационным удостоверением, содержащимся в составе заявки Заявителя.</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пункту 1 части 12 статьи 48 при рассмотрении вторых частей заявок на участие в закупке соответствующая заявка подлежит отклонению в случае непредставления (за исключением случаев, предусмотренных настоящим Федеральным </w:t>
      </w:r>
      <w:r>
        <w:rPr>
          <w:color w:val="000000"/>
          <w:spacing w:val="0"/>
          <w:w w:val="100"/>
          <w:position w:val="0"/>
          <w:shd w:val="clear" w:color="auto" w:fill="auto"/>
          <w:lang w:val="ru-RU" w:eastAsia="ru-RU" w:bidi="ru-RU"/>
        </w:rPr>
        <w:t>законом</w:t>
      </w:r>
      <w:r>
        <w:rPr>
          <w:color w:val="000000"/>
          <w:spacing w:val="0"/>
          <w:w w:val="100"/>
          <w:position w:val="0"/>
          <w:shd w:val="clear" w:color="auto" w:fill="auto"/>
          <w:lang w:val="ru-RU" w:eastAsia="ru-RU" w:bidi="ru-RU"/>
        </w:rPr>
        <w:t xml:space="preserve">) в заявке на участие в закупке информации и документов, предусмотренных извещением об осуществлении закупки в соответствии с настоящим Федеральным </w:t>
      </w:r>
      <w:r>
        <w:rPr>
          <w:color w:val="000000"/>
          <w:spacing w:val="0"/>
          <w:w w:val="100"/>
          <w:position w:val="0"/>
          <w:shd w:val="clear" w:color="auto" w:fill="auto"/>
          <w:lang w:val="ru-RU" w:eastAsia="ru-RU" w:bidi="ru-RU"/>
        </w:rPr>
        <w:t>законом</w:t>
      </w:r>
      <w:r>
        <w:rPr>
          <w:color w:val="000000"/>
          <w:spacing w:val="0"/>
          <w:w w:val="100"/>
          <w:position w:val="0"/>
          <w:shd w:val="clear" w:color="auto" w:fill="auto"/>
          <w:lang w:val="ru-RU" w:eastAsia="ru-RU" w:bidi="ru-RU"/>
        </w:rPr>
        <w:t xml:space="preserve"> (за исключением информации и документов, предусмотренных</w:t>
      </w:r>
      <w:r>
        <w:rPr>
          <w:color w:val="000000"/>
          <w:spacing w:val="0"/>
          <w:w w:val="100"/>
          <w:position w:val="0"/>
          <w:shd w:val="clear" w:color="auto" w:fill="auto"/>
          <w:lang w:val="ru-RU" w:eastAsia="ru-RU" w:bidi="ru-RU"/>
        </w:rPr>
        <w:t xml:space="preserve"> пунктами 2 </w:t>
      </w:r>
      <w:r>
        <w:rPr>
          <w:color w:val="000000"/>
          <w:spacing w:val="0"/>
          <w:w w:val="100"/>
          <w:position w:val="0"/>
          <w:shd w:val="clear" w:color="auto" w:fill="auto"/>
          <w:lang w:val="ru-RU" w:eastAsia="ru-RU" w:bidi="ru-RU"/>
        </w:rPr>
        <w:t>и</w:t>
      </w:r>
      <w:r>
        <w:rPr>
          <w:color w:val="000000"/>
          <w:spacing w:val="0"/>
          <w:w w:val="100"/>
          <w:position w:val="0"/>
          <w:shd w:val="clear" w:color="auto" w:fill="auto"/>
          <w:lang w:val="ru-RU" w:eastAsia="ru-RU" w:bidi="ru-RU"/>
        </w:rPr>
        <w:t xml:space="preserve"> 3 части 6 статьи 43 </w:t>
      </w:r>
      <w:r>
        <w:rPr>
          <w:color w:val="000000"/>
          <w:spacing w:val="0"/>
          <w:w w:val="100"/>
          <w:position w:val="0"/>
          <w:shd w:val="clear" w:color="auto" w:fill="auto"/>
          <w:lang w:val="ru-RU" w:eastAsia="ru-RU" w:bidi="ru-RU"/>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в действиях комиссии по осуществлению закупок в части отклонения заявки ИП Беляковой Т.Л, не усматриваются нарушения Закона о контрактной системе, в результате чего Комиссия приходит к выводу о необоснованности жалобы.</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результате проведения внеплановой проверки нарушений требований законодательства о контрактной системе Комиссией Курганского УФАС России не установлено.</w:t>
      </w:r>
    </w:p>
    <w:p>
      <w:pPr>
        <w:pStyle w:val="Style13"/>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Исследовав предоставленные материалы, руководствуясь статьей 105 Закона о контрактной системе в сфере закупок, руководствуясь административным регламентом по рассмотрению жалоб, утвержденным приказом Федеральной антимонопольной службы России от 19.11.2014 № 727/14, статьями 99, 106 Закона о контрактной системе, Комиссией Курганского УФАС России,</w:t>
      </w:r>
    </w:p>
    <w:p>
      <w:pPr>
        <w:pStyle w:val="Style16"/>
        <w:keepNext/>
        <w:keepLines/>
        <w:widowControl w:val="0"/>
        <w:shd w:val="clear" w:color="auto" w:fill="auto"/>
        <w:bidi w:val="0"/>
        <w:spacing w:before="0" w:line="240" w:lineRule="auto"/>
        <w:ind w:left="0" w:right="0" w:firstLine="0"/>
        <w:jc w:val="center"/>
      </w:pPr>
      <w:bookmarkStart w:id="9" w:name="bookmark9"/>
      <w:r>
        <w:rPr>
          <w:color w:val="000000"/>
          <w:spacing w:val="0"/>
          <w:w w:val="100"/>
          <w:position w:val="0"/>
          <w:shd w:val="clear" w:color="auto" w:fill="auto"/>
          <w:lang w:val="ru-RU" w:eastAsia="ru-RU" w:bidi="ru-RU"/>
        </w:rPr>
        <w:t>РЕШИЛА:</w:t>
      </w:r>
      <w:bookmarkEnd w:id="9"/>
    </w:p>
    <w:p>
      <w:pPr>
        <w:pStyle w:val="Style13"/>
        <w:keepNext w:val="0"/>
        <w:keepLines w:val="0"/>
        <w:widowControl w:val="0"/>
        <w:shd w:val="clear" w:color="auto" w:fill="auto"/>
        <w:bidi w:val="0"/>
        <w:spacing w:before="0" w:after="600" w:line="240" w:lineRule="auto"/>
        <w:ind w:left="0" w:right="0" w:firstLine="740"/>
        <w:jc w:val="both"/>
      </w:pPr>
      <w:r>
        <w:rPr>
          <w:color w:val="000000"/>
          <w:spacing w:val="0"/>
          <w:w w:val="100"/>
          <w:position w:val="0"/>
          <w:shd w:val="clear" w:color="auto" w:fill="auto"/>
          <w:lang w:val="ru-RU" w:eastAsia="ru-RU" w:bidi="ru-RU"/>
        </w:rPr>
        <w:t>Признать жалобу Индивидуального предпринимателя Беляковой Татьяны Леонидовны необоснованной.</w:t>
      </w:r>
    </w:p>
    <w:p>
      <w:pPr>
        <w:pStyle w:val="Style13"/>
        <w:keepNext w:val="0"/>
        <w:keepLines w:val="0"/>
        <w:widowControl w:val="0"/>
        <w:shd w:val="clear" w:color="auto" w:fill="auto"/>
        <w:bidi w:val="0"/>
        <w:spacing w:before="0" w:after="600" w:line="240" w:lineRule="auto"/>
        <w:ind w:left="0" w:right="0" w:firstLine="740"/>
        <w:jc w:val="both"/>
        <w:rPr>
          <w:sz w:val="26"/>
          <w:szCs w:val="26"/>
        </w:rPr>
      </w:pPr>
      <w:r>
        <w:rPr>
          <w:i/>
          <w:iCs/>
          <w:color w:val="000000"/>
          <w:spacing w:val="0"/>
          <w:w w:val="100"/>
          <w:position w:val="0"/>
          <w:sz w:val="26"/>
          <w:szCs w:val="26"/>
          <w:shd w:val="clear" w:color="auto" w:fill="auto"/>
          <w:lang w:val="ru-RU" w:eastAsia="ru-RU" w:bidi="ru-RU"/>
        </w:rPr>
        <w:t>В соответствии с частью 9 статьи 106 Закона о контрактной системе, решение может быть обжаловано в судебном порядке в течение трех месяцев с даты его принятия.</w:t>
      </w:r>
    </w:p>
    <w:p>
      <w:pPr>
        <w:pStyle w:val="Style13"/>
        <w:keepNext w:val="0"/>
        <w:keepLines w:val="0"/>
        <w:widowControl w:val="0"/>
        <w:shd w:val="clear" w:color="auto" w:fill="auto"/>
        <w:tabs>
          <w:tab w:leader="underscore" w:pos="7529" w:val="left"/>
        </w:tabs>
        <w:bidi w:val="0"/>
        <w:spacing w:before="0" w:after="320" w:line="240" w:lineRule="auto"/>
        <w:ind w:left="0" w:right="0" w:firstLine="0"/>
        <w:jc w:val="both"/>
      </w:pPr>
      <w:r>
        <w:rPr>
          <w:color w:val="00000A"/>
          <w:spacing w:val="0"/>
          <w:w w:val="100"/>
          <w:position w:val="0"/>
          <w:shd w:val="clear" w:color="auto" w:fill="auto"/>
          <w:lang w:val="ru-RU" w:eastAsia="ru-RU" w:bidi="ru-RU"/>
        </w:rPr>
        <w:t xml:space="preserve">Заместитель Председателя Комиссии: </w:t>
        <w:tab/>
        <w:t>/ А.В. Иванова</w:t>
      </w:r>
    </w:p>
    <w:p>
      <w:pPr>
        <w:pStyle w:val="Style13"/>
        <w:keepNext w:val="0"/>
        <w:keepLines w:val="0"/>
        <w:widowControl w:val="0"/>
        <w:shd w:val="clear" w:color="auto" w:fill="auto"/>
        <w:tabs>
          <w:tab w:leader="underscore" w:pos="5186" w:val="left"/>
        </w:tabs>
        <w:bidi w:val="0"/>
        <w:spacing w:before="0" w:after="320" w:line="240" w:lineRule="auto"/>
        <w:ind w:left="2800" w:right="0" w:firstLine="0"/>
        <w:jc w:val="both"/>
      </w:pPr>
      <w:r>
        <mc:AlternateContent>
          <mc:Choice Requires="wps">
            <w:drawing>
              <wp:anchor distT="0" distB="0" distL="114300" distR="114300" simplePos="0" relativeHeight="125829380" behindDoc="0" locked="0" layoutInCell="1" allowOverlap="1">
                <wp:simplePos x="0" y="0"/>
                <wp:positionH relativeFrom="page">
                  <wp:posOffset>726440</wp:posOffset>
                </wp:positionH>
                <wp:positionV relativeFrom="paragraph">
                  <wp:posOffset>12700</wp:posOffset>
                </wp:positionV>
                <wp:extent cx="1371600" cy="252730"/>
                <wp:wrapSquare wrapText="right"/>
                <wp:docPr id="9" name="Shape 9"/>
                <a:graphic xmlns:a="http://schemas.openxmlformats.org/drawingml/2006/main">
                  <a:graphicData uri="http://schemas.microsoft.com/office/word/2010/wordprocessingShape">
                    <wps:wsp>
                      <wps:cNvSpPr txBox="1"/>
                      <wps:spPr>
                        <a:xfrm>
                          <a:ext cx="1371600" cy="2527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A"/>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35" type="#_x0000_t202" style="position:absolute;margin-left:57.200000000000003pt;margin-top:1.pt;width:108.pt;height:19.900000000000002pt;z-index:-125829373;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A"/>
                          <w:spacing w:val="0"/>
                          <w:w w:val="100"/>
                          <w:position w:val="0"/>
                          <w:shd w:val="clear" w:color="auto" w:fill="auto"/>
                          <w:lang w:val="ru-RU" w:eastAsia="ru-RU" w:bidi="ru-RU"/>
                        </w:rPr>
                        <w:t>Члены Комиссии:</w:t>
                      </w:r>
                    </w:p>
                  </w:txbxContent>
                </v:textbox>
                <w10:wrap type="square" side="right" anchorx="page"/>
              </v:shape>
            </w:pict>
          </mc:Fallback>
        </mc:AlternateContent>
      </w:r>
      <w:r>
        <w:rPr>
          <w:color w:val="00000A"/>
          <w:spacing w:val="0"/>
          <w:w w:val="100"/>
          <w:position w:val="0"/>
          <w:shd w:val="clear" w:color="auto" w:fill="auto"/>
          <w:lang w:val="ru-RU" w:eastAsia="ru-RU" w:bidi="ru-RU"/>
        </w:rPr>
        <w:tab/>
        <w:t>/ И.М. Стрижова</w:t>
      </w:r>
    </w:p>
    <w:p>
      <w:pPr>
        <w:pStyle w:val="Style13"/>
        <w:keepNext w:val="0"/>
        <w:keepLines w:val="0"/>
        <w:widowControl w:val="0"/>
        <w:shd w:val="clear" w:color="auto" w:fill="auto"/>
        <w:tabs>
          <w:tab w:leader="underscore" w:pos="7529" w:val="left"/>
        </w:tabs>
        <w:bidi w:val="0"/>
        <w:spacing w:before="0" w:after="320" w:line="240" w:lineRule="auto"/>
        <w:ind w:left="5180" w:right="0" w:firstLine="0"/>
        <w:jc w:val="both"/>
      </w:pPr>
      <w:r>
        <w:rPr>
          <w:color w:val="00000A"/>
          <w:spacing w:val="0"/>
          <w:w w:val="100"/>
          <w:position w:val="0"/>
          <w:shd w:val="clear" w:color="auto" w:fill="auto"/>
          <w:lang w:val="ru-RU" w:eastAsia="ru-RU" w:bidi="ru-RU"/>
        </w:rPr>
        <w:tab/>
        <w:t>/ И.Г. Башкирова</w:t>
      </w:r>
    </w:p>
    <w:sectPr>
      <w:footnotePr>
        <w:pos w:val="pageBottom"/>
        <w:numFmt w:val="decimal"/>
        <w:numRestart w:val="continuous"/>
      </w:footnotePr>
      <w:type w:val="continuous"/>
      <w:pgSz w:w="11900" w:h="16840"/>
      <w:pgMar w:top="284" w:right="508" w:bottom="1250" w:left="1058"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718820</wp:posOffset>
              </wp:positionH>
              <wp:positionV relativeFrom="page">
                <wp:posOffset>10016490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2023-1502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600000000000001pt;margin-top:788.70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2023-1502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5" name="Shape 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2023-1502</w:t>
                          </w:r>
                        </w:p>
                      </w:txbxContent>
                    </wps:txbx>
                    <wps:bodyPr wrap="none" lIns="0" tIns="0" rIns="0" bIns="0">
                      <a:spAutoFit/>
                    </wps:bodyPr>
                  </wps:wsp>
                </a:graphicData>
              </a:graphic>
            </wp:anchor>
          </w:drawing>
        </mc:Choice>
        <mc:Fallback>
          <w:pict>
            <v:shape id="_x0000_s1031"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2023-1502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561A2"/>
      <w:sz w:val="16"/>
      <w:szCs w:val="16"/>
      <w:u w:val="none"/>
    </w:rPr>
  </w:style>
  <w:style w:type="character" w:customStyle="1" w:styleId="CharStyle9">
    <w:name w:val="Основной текст (3)_"/>
    <w:basedOn w:val="DefaultParagraphFont"/>
    <w:link w:val="Style8"/>
    <w:rPr>
      <w:rFonts w:ascii="Times New Roman" w:eastAsia="Times New Roman" w:hAnsi="Times New Roman" w:cs="Times New Roman"/>
      <w:b/>
      <w:bCs/>
      <w:i w:val="0"/>
      <w:iCs w:val="0"/>
      <w:smallCaps w:val="0"/>
      <w:strike w:val="0"/>
      <w:color w:val="4561A2"/>
      <w:sz w:val="19"/>
      <w:szCs w:val="19"/>
      <w:u w:val="none"/>
    </w:rPr>
  </w:style>
  <w:style w:type="character" w:customStyle="1" w:styleId="CharStyle12">
    <w:name w:val="Подпись к картинке_"/>
    <w:basedOn w:val="DefaultParagraphFont"/>
    <w:link w:val="Style11"/>
    <w:rPr>
      <w:rFonts w:ascii="Times New Roman" w:eastAsia="Times New Roman" w:hAnsi="Times New Roman" w:cs="Times New Roman"/>
      <w:b w:val="0"/>
      <w:bCs w:val="0"/>
      <w:i w:val="0"/>
      <w:iCs w:val="0"/>
      <w:smallCaps w:val="0"/>
      <w:strike w:val="0"/>
      <w:color w:val="4561A2"/>
      <w:sz w:val="19"/>
      <w:szCs w:val="19"/>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sz w:val="28"/>
      <w:szCs w:val="28"/>
      <w:u w:val="none"/>
    </w:rPr>
  </w:style>
  <w:style w:type="character" w:customStyle="1" w:styleId="CharStyle17">
    <w:name w:val="Заголовок №2_"/>
    <w:basedOn w:val="DefaultParagraphFont"/>
    <w:link w:val="Style16"/>
    <w:rPr>
      <w:rFonts w:ascii="Times New Roman" w:eastAsia="Times New Roman" w:hAnsi="Times New Roman" w:cs="Times New Roman"/>
      <w:b/>
      <w:bCs/>
      <w:i w:val="0"/>
      <w:iCs w:val="0"/>
      <w:smallCaps w:val="0"/>
      <w:strike w:val="0"/>
      <w:sz w:val="28"/>
      <w:szCs w:val="28"/>
      <w:u w:val="none"/>
    </w:rPr>
  </w:style>
  <w:style w:type="character" w:customStyle="1" w:styleId="CharStyle20">
    <w:name w:val="Заголовок №1_"/>
    <w:basedOn w:val="DefaultParagraphFont"/>
    <w:link w:val="Style19"/>
    <w:rPr>
      <w:rFonts w:ascii="Arial" w:eastAsia="Arial" w:hAnsi="Arial" w:cs="Arial"/>
      <w:b w:val="0"/>
      <w:bCs w:val="0"/>
      <w:i w:val="0"/>
      <w:iCs w:val="0"/>
      <w:smallCaps w:val="0"/>
      <w:strike w:val="0"/>
      <w:sz w:val="32"/>
      <w:szCs w:val="32"/>
      <w:u w:val="none"/>
    </w:rPr>
  </w:style>
  <w:style w:type="character" w:customStyle="1" w:styleId="CharStyle22">
    <w:name w:val="Другое_"/>
    <w:basedOn w:val="DefaultParagraphFont"/>
    <w:link w:val="Style21"/>
    <w:rPr>
      <w:rFonts w:ascii="Times New Roman" w:eastAsia="Times New Roman" w:hAnsi="Times New Roman" w:cs="Times New Roman"/>
      <w:b w:val="0"/>
      <w:bCs w:val="0"/>
      <w:i w:val="0"/>
      <w:iCs w:val="0"/>
      <w:smallCaps w:val="0"/>
      <w:strike w:val="0"/>
      <w:sz w:val="28"/>
      <w:szCs w:val="28"/>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after="420" w:line="281" w:lineRule="auto"/>
      <w:jc w:val="center"/>
    </w:pPr>
    <w:rPr>
      <w:rFonts w:ascii="Times New Roman" w:eastAsia="Times New Roman" w:hAnsi="Times New Roman" w:cs="Times New Roman"/>
      <w:b w:val="0"/>
      <w:bCs w:val="0"/>
      <w:i w:val="0"/>
      <w:iCs w:val="0"/>
      <w:smallCaps w:val="0"/>
      <w:strike w:val="0"/>
      <w:color w:val="4561A2"/>
      <w:sz w:val="16"/>
      <w:szCs w:val="16"/>
      <w:u w:val="none"/>
    </w:rPr>
  </w:style>
  <w:style w:type="paragraph" w:customStyle="1" w:styleId="Style8">
    <w:name w:val="Основной текст (3)"/>
    <w:basedOn w:val="Normal"/>
    <w:link w:val="CharStyle9"/>
    <w:pPr>
      <w:widowControl w:val="0"/>
      <w:shd w:val="clear" w:color="auto" w:fill="auto"/>
      <w:spacing w:after="180"/>
      <w:jc w:val="center"/>
    </w:pPr>
    <w:rPr>
      <w:rFonts w:ascii="Times New Roman" w:eastAsia="Times New Roman" w:hAnsi="Times New Roman" w:cs="Times New Roman"/>
      <w:b/>
      <w:bCs/>
      <w:i w:val="0"/>
      <w:iCs w:val="0"/>
      <w:smallCaps w:val="0"/>
      <w:strike w:val="0"/>
      <w:color w:val="4561A2"/>
      <w:sz w:val="19"/>
      <w:szCs w:val="19"/>
      <w:u w:val="none"/>
    </w:rPr>
  </w:style>
  <w:style w:type="paragraph" w:customStyle="1" w:styleId="Style11">
    <w:name w:val="Подпись к картинке"/>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color w:val="4561A2"/>
      <w:sz w:val="19"/>
      <w:szCs w:val="19"/>
      <w:u w:val="non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6">
    <w:name w:val="Заголовок №2"/>
    <w:basedOn w:val="Normal"/>
    <w:link w:val="CharStyle17"/>
    <w:pPr>
      <w:widowControl w:val="0"/>
      <w:shd w:val="clear" w:color="auto" w:fill="auto"/>
      <w:spacing w:after="280"/>
      <w:jc w:val="center"/>
      <w:outlineLvl w:val="1"/>
    </w:pPr>
    <w:rPr>
      <w:rFonts w:ascii="Times New Roman" w:eastAsia="Times New Roman" w:hAnsi="Times New Roman" w:cs="Times New Roman"/>
      <w:b/>
      <w:bCs/>
      <w:i w:val="0"/>
      <w:iCs w:val="0"/>
      <w:smallCaps w:val="0"/>
      <w:strike w:val="0"/>
      <w:sz w:val="28"/>
      <w:szCs w:val="28"/>
      <w:u w:val="none"/>
    </w:rPr>
  </w:style>
  <w:style w:type="paragraph" w:customStyle="1" w:styleId="Style19">
    <w:name w:val="Заголовок №1"/>
    <w:basedOn w:val="Normal"/>
    <w:link w:val="CharStyle20"/>
    <w:pPr>
      <w:widowControl w:val="0"/>
      <w:shd w:val="clear" w:color="auto" w:fill="auto"/>
      <w:spacing w:after="280"/>
      <w:outlineLvl w:val="0"/>
    </w:pPr>
    <w:rPr>
      <w:rFonts w:ascii="Arial" w:eastAsia="Arial" w:hAnsi="Arial" w:cs="Arial"/>
      <w:b w:val="0"/>
      <w:bCs w:val="0"/>
      <w:i w:val="0"/>
      <w:iCs w:val="0"/>
      <w:smallCaps w:val="0"/>
      <w:strike w:val="0"/>
      <w:sz w:val="32"/>
      <w:szCs w:val="32"/>
      <w:u w:val="none"/>
    </w:rPr>
  </w:style>
  <w:style w:type="paragraph" w:customStyle="1" w:styleId="Style21">
    <w:name w:val="Другое"/>
    <w:basedOn w:val="Normal"/>
    <w:link w:val="CharStyle22"/>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s>
</file>