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1778635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925195</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850000000000009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v:textbox>
                <w10:wrap type="square" side="right" anchorx="page"/>
              </v:shape>
            </w:pict>
          </mc:Fallback>
        </mc:AlternateConten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"Архимед" (далее - Заявитель) Научный пр., 19, эт. 7, оф. 72-3, г. Москва, 117246</w:t>
      </w:r>
    </w:p>
    <w:p>
      <w:pPr>
        <w:pStyle w:val="Style11"/>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агЫтед.едисайоп@дтаП.сот</w:t>
      </w:r>
    </w:p>
    <w:p>
      <w:pPr>
        <w:pStyle w:val="Style11"/>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ГБПОУ РО "Ростовский колледж культуры" (далее - Заказчик)</w:t>
      </w:r>
    </w:p>
    <w:p>
      <w:pPr>
        <w:pStyle w:val="Style11"/>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ул. Мясникова, 12, Ростов-на-Дону, 344019 гк-си1Шге@таП.ш</w:t>
      </w:r>
    </w:p>
    <w:p>
      <w:pPr>
        <w:pStyle w:val="Style11"/>
        <w:keepNext w:val="0"/>
        <w:keepLines w:val="0"/>
        <w:widowControl w:val="0"/>
        <w:shd w:val="clear" w:color="auto" w:fill="auto"/>
        <w:bidi w:val="0"/>
        <w:spacing w:before="0" w:after="1900" w:line="240" w:lineRule="auto"/>
        <w:ind w:left="1260" w:right="0" w:firstLine="0"/>
        <w:jc w:val="left"/>
      </w:pPr>
      <w:r>
        <w:rPr>
          <w:color w:val="000000"/>
          <w:spacing w:val="0"/>
          <w:w w:val="100"/>
          <w:position w:val="0"/>
          <w:sz w:val="24"/>
          <w:szCs w:val="24"/>
          <w:shd w:val="clear" w:color="auto" w:fill="auto"/>
          <w:lang w:val="ru-RU" w:eastAsia="ru-RU" w:bidi="ru-RU"/>
        </w:rPr>
        <w:t>АО "Сбербанк-АСТ" (далее - Оператор)</w:t>
      </w:r>
    </w:p>
    <w:p>
      <w:pPr>
        <w:pStyle w:val="Style11"/>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1"/>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 № 061/06/42-1540/2023</w:t>
      </w:r>
    </w:p>
    <w:p>
      <w:pPr>
        <w:pStyle w:val="Style11"/>
        <w:keepNext w:val="0"/>
        <w:keepLines w:val="0"/>
        <w:widowControl w:val="0"/>
        <w:shd w:val="clear" w:color="auto" w:fill="auto"/>
        <w:tabs>
          <w:tab w:pos="841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02.05.2023</w:t>
        <w:tab/>
        <w:t>г. Ростов-на-Дону</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61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11"/>
        <w:keepNext w:val="0"/>
        <w:keepLines w:val="0"/>
        <w:widowControl w:val="0"/>
        <w:shd w:val="clear" w:color="auto" w:fill="auto"/>
        <w:tabs>
          <w:tab w:pos="841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1"/>
        <w:keepNext w:val="0"/>
        <w:keepLines w:val="0"/>
        <w:widowControl w:val="0"/>
        <w:shd w:val="clear" w:color="auto" w:fill="auto"/>
        <w:bidi w:val="0"/>
        <w:spacing w:before="0" w:after="24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дело № 061/06/42-1540/2023 по жалобе Заявителя о нарушении Заказчиком при проведении электронного аукциона № 0358200023923000004 «Поставка демонстрационно</w:t>
        <w:softHyphen/>
        <w:t>образовательной студии»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Заказчика — Чикиной Д.В. (доверенность от 27.04.2023 г. № 1); в отсутствие представителя Заявителя (уведомлен надлежащим образом, ходатайств не поступало),</w:t>
      </w:r>
    </w:p>
    <w:p>
      <w:pPr>
        <w:pStyle w:val="Style11"/>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положения Извещения об осуществлении закупки. По мнению Заявителя, Заказчиком нарушены положения Закона при описании объекта закупки.</w:t>
      </w:r>
    </w:p>
    <w:p>
      <w:pPr>
        <w:pStyle w:val="Style11"/>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1"/>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разъяснил, как осуществлялось описание объекта закупки;</w:t>
      </w:r>
    </w:p>
    <w:p>
      <w:pPr>
        <w:pStyle w:val="Style11"/>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1"/>
        <w:keepNext w:val="0"/>
        <w:keepLines w:val="0"/>
        <w:widowControl w:val="0"/>
        <w:shd w:val="clear" w:color="auto" w:fill="auto"/>
        <w:bidi w:val="0"/>
        <w:spacing w:before="0" w:after="240" w:line="240" w:lineRule="auto"/>
        <w:ind w:left="0" w:right="0" w:firstLine="74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w:t>
      </w:r>
    </w:p>
    <w:p>
      <w:pPr>
        <w:pStyle w:val="Style17"/>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12"/>
          <w:color w:val="111111"/>
        </w:rPr>
        <w:t>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в Единой информационной системе (ЕИС) на официальном сайте \\л\л\'.хакирк1.до\\ги 17.04.2023 г. размещено Извещение об осуществлении закупки, согласно которому: установлены дата и время окончания подачи заявок - 25.04.2023 10:00; начальная (максимальная) цена контракта составила 29 854 188, 00 рублей.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подачи ценовых предложений от 25.04.2023 г. в процедуре торгов приняли участие 4 участника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27.04.2022 г. все заявки признаны соответствующими требованиям Закона и Извещения.</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11"/>
        <w:keepNext w:val="0"/>
        <w:keepLines w:val="0"/>
        <w:widowControl w:val="0"/>
        <w:numPr>
          <w:ilvl w:val="0"/>
          <w:numId w:val="3"/>
        </w:numPr>
        <w:shd w:val="clear" w:color="auto" w:fill="auto"/>
        <w:tabs>
          <w:tab w:pos="10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доводам жалобы Заявителя, при описании объекта закупки Заказчиком ненадлежащим образом определен код ОКПД2 закупаемого товара, не использованы позиции Каталога товаров, работ, услуг (далее — КТРУ), ненадлежащим образом применен национальный режим при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Оценивая доводы жалобы, Комиссия руководствуется следующим: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2 ст. 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совокупного толкования п. 1 ч. 2 ст. 42, п. 1,2 ч. 1, ч. 2 ст. 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о проведении закупки, приобретаемым Заказчиком товаром являются приборы, аппаратура и устройства учебные демонстрационные с определенным кодом ОКПД2 32.99.53.130, комплект — 1 шт. В извещении о проведении закупки установлено ограничение допуска согласно нормам Постановления Правительства РФ от 30.04.2020 г.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согласно описанию объекта закупки, приобретаемыми Заказчиком товарами являются 100 отдельных позиций, в том числе:</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 31. Микрофон музыкальный - 1 шт;</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 32. Микрофон музыкальный - 1 шт;</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 33. Микшерный пульт - 1 шт;</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 38. Мобильное рабочее место - 1 шт;</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 53. Сабвуфер - 1 шт.</w:t>
      </w:r>
    </w:p>
    <w:p>
      <w:pPr>
        <w:pStyle w:val="Style11"/>
        <w:keepNext w:val="0"/>
        <w:keepLines w:val="0"/>
        <w:widowControl w:val="0"/>
        <w:numPr>
          <w:ilvl w:val="0"/>
          <w:numId w:val="5"/>
        </w:numPr>
        <w:shd w:val="clear" w:color="auto" w:fill="auto"/>
        <w:tabs>
          <w:tab w:pos="95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 78. Телевизор - 1 шт.</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 6 ст.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ч. 6 ст. 23 Закона Правительством Российской Федерации принято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ЕИС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1"/>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1"/>
        <w:keepNext w:val="0"/>
        <w:keepLines w:val="0"/>
        <w:widowControl w:val="0"/>
        <w:numPr>
          <w:ilvl w:val="0"/>
          <w:numId w:val="9"/>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w:t>
      </w:r>
      <w:r>
        <w:rPr>
          <w:color w:val="000000"/>
          <w:spacing w:val="0"/>
          <w:w w:val="100"/>
          <w:position w:val="0"/>
          <w:sz w:val="24"/>
          <w:szCs w:val="24"/>
          <w:shd w:val="clear" w:color="auto" w:fill="auto"/>
          <w:lang w:val="ru-RU" w:eastAsia="ru-RU" w:bidi="ru-RU"/>
        </w:rPr>
        <w:t>постановлением ограничения на допуск радиоэлектронной продукции, происходящей из иностранных государств;</w:t>
      </w:r>
    </w:p>
    <w:p>
      <w:pPr>
        <w:pStyle w:val="Style11"/>
        <w:keepNext w:val="0"/>
        <w:keepLines w:val="0"/>
        <w:widowControl w:val="0"/>
        <w:numPr>
          <w:ilvl w:val="0"/>
          <w:numId w:val="11"/>
        </w:numPr>
        <w:shd w:val="clear" w:color="auto" w:fill="auto"/>
        <w:tabs>
          <w:tab w:pos="1042"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КТРУ содержит товары, указанные в описании объекта закупки, в том числе:</w:t>
      </w:r>
    </w:p>
    <w:p>
      <w:pPr>
        <w:pStyle w:val="Style11"/>
        <w:keepNext w:val="0"/>
        <w:keepLines w:val="0"/>
        <w:widowControl w:val="0"/>
        <w:numPr>
          <w:ilvl w:val="0"/>
          <w:numId w:val="13"/>
        </w:numPr>
        <w:shd w:val="clear" w:color="auto" w:fill="auto"/>
        <w:tabs>
          <w:tab w:pos="169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26.40.20.122-00000005 «Телевизор» (обязательное применение с 20.08.2022 — Бессрочно);</w:t>
      </w:r>
    </w:p>
    <w:p>
      <w:pPr>
        <w:pStyle w:val="Style11"/>
        <w:keepNext w:val="0"/>
        <w:keepLines w:val="0"/>
        <w:widowControl w:val="0"/>
        <w:numPr>
          <w:ilvl w:val="0"/>
          <w:numId w:val="13"/>
        </w:numPr>
        <w:shd w:val="clear" w:color="auto" w:fill="auto"/>
        <w:tabs>
          <w:tab w:pos="169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26.40.43.110-00000003 «Сабвуфер» (обязательное применение с 22.09.2022 — Бессрочно);</w:t>
      </w:r>
    </w:p>
    <w:p>
      <w:pPr>
        <w:pStyle w:val="Style11"/>
        <w:keepNext w:val="0"/>
        <w:keepLines w:val="0"/>
        <w:widowControl w:val="0"/>
        <w:numPr>
          <w:ilvl w:val="0"/>
          <w:numId w:val="15"/>
        </w:numPr>
        <w:shd w:val="clear" w:color="auto" w:fill="auto"/>
        <w:tabs>
          <w:tab w:pos="97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26.40.31.190-00000009 «Микшерный пульт» (обязательное применение с 31.12.2022 — Бессрочно);</w:t>
      </w:r>
    </w:p>
    <w:p>
      <w:pPr>
        <w:pStyle w:val="Style11"/>
        <w:keepNext w:val="0"/>
        <w:keepLines w:val="0"/>
        <w:widowControl w:val="0"/>
        <w:numPr>
          <w:ilvl w:val="0"/>
          <w:numId w:val="15"/>
        </w:numPr>
        <w:shd w:val="clear" w:color="auto" w:fill="auto"/>
        <w:tabs>
          <w:tab w:pos="97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26.40.41.000-00000011 «Микрофон музыкальный» (обязательное применение с 21.09.2022 — Бессрочно);</w:t>
      </w:r>
    </w:p>
    <w:p>
      <w:pPr>
        <w:pStyle w:val="Style11"/>
        <w:keepNext w:val="0"/>
        <w:keepLines w:val="0"/>
        <w:widowControl w:val="0"/>
        <w:numPr>
          <w:ilvl w:val="0"/>
          <w:numId w:val="15"/>
        </w:numPr>
        <w:shd w:val="clear" w:color="auto" w:fill="auto"/>
        <w:tabs>
          <w:tab w:pos="97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26.20.11.110-00000001 «Ноутбук» (обязательное применение с 21.09.2022 — Бессрочно), и др.</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Заказчиком не использована информация позиций КТРУ при описании товаров, необходимых к поставке, в нарушение ч. 6 ст. 23 Закона.</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Кроме того, код ОКПД2 32.99.53.130, указанный Заказчиком в Извещении, не соответствует надлежащим кодам товаров, требуемых к поставке, в том числе, по названным позициям.</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Выбор Заказчиком ненадлежащего кода ОКПД2 и неиспользование надлежащих кодов позиций КТРУ повлекло собой нарушение национального режима при осуществлении закупки.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в силу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30.04.2020 г. № 616 (далее — Постановление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Пунктом 12 Постановления № 616 установлено,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При этом медицинские маски не могут быть предметом одного контракта (одного лота) с другими отдельными видами промышленных товаров, включенных в перечень.</w:t>
      </w:r>
    </w:p>
    <w:p>
      <w:pPr>
        <w:pStyle w:val="Style11"/>
        <w:keepNext w:val="0"/>
        <w:keepLines w:val="0"/>
        <w:widowControl w:val="0"/>
        <w:shd w:val="clear" w:color="auto" w:fill="auto"/>
        <w:bidi w:val="0"/>
        <w:spacing w:before="0" w:after="240" w:line="240" w:lineRule="auto"/>
        <w:ind w:left="0" w:right="0" w:firstLine="560"/>
        <w:jc w:val="both"/>
      </w:pPr>
      <w:r>
        <w:rPr>
          <w:color w:val="000000"/>
          <w:spacing w:val="0"/>
          <w:w w:val="100"/>
          <w:position w:val="0"/>
          <w:sz w:val="24"/>
          <w:szCs w:val="24"/>
          <w:shd w:val="clear" w:color="auto" w:fill="auto"/>
          <w:lang w:val="ru-RU" w:eastAsia="ru-RU" w:bidi="ru-RU"/>
        </w:rPr>
        <w:t>Вместе с тем, Комиссия Ростовского УФАС России отмечает, что вопреки названным требованиям, Заказчик включил в описание объекта закупки оборудование, которое включено в Перечень, утвержденный Постановлением № 616 (в редакции, действовавшей на момент публикации Извещения), например: 26.20.11.110-00000001 «Ноутбук» («Мобильное рабочее место»).</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7 Постановления №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Вместе с тем, Комиссия Ростовского УФАС России отмечает, что вопреки названным требованиям, Заказчик включил в описание объекта закупки оборудование, которое включено в Перечень, утвержденный Постановлением № 878, например: 26.20.11.110-00000001 «Ноутбук» («Мобильное рабочее место»), 26.40.20.122-00000005 «Телевизор».</w:t>
      </w:r>
    </w:p>
    <w:p>
      <w:pPr>
        <w:pStyle w:val="Style11"/>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силу п. 6 Постановления № 617 музыкальные инструменты и звуковое оборудование, входящие в различные производственные группы по перечню согласно приложению к постановлению, а также другие отдельные виды промышленных товаров не могут быть предметом одного контракта (одного лота).</w:t>
      </w:r>
    </w:p>
    <w:p>
      <w:pPr>
        <w:pStyle w:val="Style11"/>
        <w:keepNext w:val="0"/>
        <w:keepLines w:val="0"/>
        <w:widowControl w:val="0"/>
        <w:pBdr>
          <w:bottom w:val="single" w:sz="4" w:space="0" w:color="auto"/>
        </w:pBdr>
        <w:shd w:val="clear" w:color="auto" w:fill="auto"/>
        <w:bidi w:val="0"/>
        <w:spacing w:before="0" w:after="80" w:line="240" w:lineRule="auto"/>
        <w:ind w:left="0" w:right="0" w:firstLine="720"/>
        <w:jc w:val="both"/>
      </w:pPr>
      <w:r>
        <w:rPr>
          <w:color w:val="000000"/>
          <w:spacing w:val="0"/>
          <w:w w:val="100"/>
          <w:position w:val="0"/>
          <w:sz w:val="24"/>
          <w:szCs w:val="24"/>
          <w:shd w:val="clear" w:color="auto" w:fill="auto"/>
          <w:lang w:val="ru-RU" w:eastAsia="ru-RU" w:bidi="ru-RU"/>
        </w:rPr>
        <w:t>Так, в соответствии с приложением к Постановлению № 617 «Производственные группы музыкальных инструментов и звукового оборудования» установлены следующие производственные группы:</w:t>
      </w:r>
    </w:p>
    <w:p>
      <w:pPr>
        <w:pStyle w:val="Style11"/>
        <w:keepNext w:val="0"/>
        <w:keepLines w:val="0"/>
        <w:widowControl w:val="0"/>
        <w:shd w:val="clear" w:color="auto" w:fill="auto"/>
        <w:bidi w:val="0"/>
        <w:spacing w:before="0" w:after="180" w:line="240" w:lineRule="auto"/>
        <w:ind w:left="0" w:right="0" w:firstLine="0"/>
        <w:jc w:val="both"/>
      </w:pPr>
      <w:r>
        <w:rPr>
          <w:color w:val="000000"/>
          <w:spacing w:val="0"/>
          <w:w w:val="100"/>
          <w:position w:val="0"/>
          <w:sz w:val="24"/>
          <w:szCs w:val="24"/>
          <w:shd w:val="clear" w:color="auto" w:fill="auto"/>
          <w:lang w:val="ru-RU" w:eastAsia="ru-RU" w:bidi="ru-RU"/>
        </w:rPr>
        <w:t>Звуковое оборудование 26.40.31.190 Аппаратура для воспроизведения звука прочая</w:t>
      </w:r>
    </w:p>
    <w:p>
      <w:pPr>
        <w:pStyle w:val="Style11"/>
        <w:keepNext w:val="0"/>
        <w:keepLines w:val="0"/>
        <w:widowControl w:val="0"/>
        <w:shd w:val="clear" w:color="auto" w:fill="auto"/>
        <w:bidi w:val="0"/>
        <w:spacing w:before="0" w:after="180" w:line="240" w:lineRule="auto"/>
        <w:ind w:left="2700" w:right="0" w:firstLine="0"/>
        <w:jc w:val="left"/>
      </w:pPr>
      <w:r>
        <w:rPr>
          <w:color w:val="000000"/>
          <w:spacing w:val="0"/>
          <w:w w:val="100"/>
          <w:position w:val="0"/>
          <w:sz w:val="24"/>
          <w:szCs w:val="24"/>
          <w:shd w:val="clear" w:color="auto" w:fill="auto"/>
          <w:lang w:val="ru-RU" w:eastAsia="ru-RU" w:bidi="ru-RU"/>
        </w:rPr>
        <w:t>26.40.42.110 Громкоговорители</w:t>
      </w:r>
    </w:p>
    <w:p>
      <w:pPr>
        <w:pStyle w:val="Style11"/>
        <w:keepNext w:val="0"/>
        <w:keepLines w:val="0"/>
        <w:widowControl w:val="0"/>
        <w:shd w:val="clear" w:color="auto" w:fill="auto"/>
        <w:bidi w:val="0"/>
        <w:spacing w:before="0" w:after="180" w:line="240" w:lineRule="auto"/>
        <w:ind w:left="2700" w:right="0" w:firstLine="0"/>
        <w:jc w:val="left"/>
      </w:pPr>
      <w:r>
        <w:rPr>
          <w:color w:val="000000"/>
          <w:spacing w:val="0"/>
          <w:w w:val="100"/>
          <w:position w:val="0"/>
          <w:sz w:val="24"/>
          <w:szCs w:val="24"/>
          <w:shd w:val="clear" w:color="auto" w:fill="auto"/>
          <w:lang w:val="ru-RU" w:eastAsia="ru-RU" w:bidi="ru-RU"/>
        </w:rPr>
        <w:t>26.40.43.110 Усилители электрические звуковых частот</w:t>
      </w:r>
    </w:p>
    <w:p>
      <w:pPr>
        <w:pStyle w:val="Style11"/>
        <w:keepNext w:val="0"/>
        <w:keepLines w:val="0"/>
        <w:widowControl w:val="0"/>
        <w:shd w:val="clear" w:color="auto" w:fill="auto"/>
        <w:bidi w:val="0"/>
        <w:spacing w:before="0" w:after="180" w:line="240" w:lineRule="auto"/>
        <w:ind w:left="2700" w:right="0" w:firstLine="0"/>
        <w:jc w:val="left"/>
      </w:pPr>
      <w:r>
        <w:rPr>
          <w:color w:val="000000"/>
          <w:spacing w:val="0"/>
          <w:w w:val="100"/>
          <w:position w:val="0"/>
          <w:sz w:val="24"/>
          <w:szCs w:val="24"/>
          <w:shd w:val="clear" w:color="auto" w:fill="auto"/>
          <w:lang w:val="ru-RU" w:eastAsia="ru-RU" w:bidi="ru-RU"/>
        </w:rPr>
        <w:t>26.40.43.120 Установки электрических усилителей звука</w:t>
      </w:r>
    </w:p>
    <w:p>
      <w:pPr>
        <w:pStyle w:val="Style11"/>
        <w:keepNext w:val="0"/>
        <w:keepLines w:val="0"/>
        <w:widowControl w:val="0"/>
        <w:pBdr>
          <w:bottom w:val="single" w:sz="4" w:space="0" w:color="auto"/>
        </w:pBdr>
        <w:shd w:val="clear" w:color="auto" w:fill="auto"/>
        <w:tabs>
          <w:tab w:pos="2606" w:val="left"/>
        </w:tabs>
        <w:bidi w:val="0"/>
        <w:spacing w:before="0" w:after="80" w:line="240" w:lineRule="auto"/>
        <w:ind w:left="0" w:right="0" w:firstLine="0"/>
        <w:jc w:val="both"/>
      </w:pPr>
      <w:r>
        <w:rPr>
          <w:color w:val="000000"/>
          <w:spacing w:val="0"/>
          <w:w w:val="100"/>
          <w:position w:val="0"/>
          <w:sz w:val="24"/>
          <w:szCs w:val="24"/>
          <w:shd w:val="clear" w:color="auto" w:fill="auto"/>
          <w:lang w:val="ru-RU" w:eastAsia="ru-RU" w:bidi="ru-RU"/>
        </w:rPr>
        <w:t>Микрофоны</w:t>
        <w:tab/>
        <w:t>26.40.41.000 Микрофоны и подставки для них</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Комиссия Ростовского УФАС России отмечает, что вопреки названным требованиям, Заказчик включил в описание объекта закупки оборудование, которое относится к разным производственным группам, утвержденным Постановлением № 617, например: 26.40.43.110-00000003 «Сабвуфер», 26.40.31.190-00000009 «Микшерный пульт» и 26.40.41.000</w:t>
        <w:softHyphen/>
        <w:t>00000011 «Микрофон».</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Учитывая изложенное, объединив в один лот поставку оборудования, указанного в описании объекта закупки, Заказчиком не соблюден национального режима при осуществлении закупки, в нарушение ч. 3 ст. 14 Закона.</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Доводы жалобы — обоснованные.</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2. Заявитель указывает, что Заказчик нарушил положения Закона, так как в Извещении не установлен запрет на допуск программного обеспечения, происходящего из иностранных государств, в соответствии с нормами Постановления Правительства РФ от 16.11.2015 г. № 1236 </w:t>
      </w:r>
      <w:r>
        <w:rPr>
          <w:color w:val="000000"/>
          <w:spacing w:val="0"/>
          <w:w w:val="100"/>
          <w:position w:val="0"/>
          <w:sz w:val="24"/>
          <w:szCs w:val="24"/>
          <w:shd w:val="clear" w:color="auto" w:fill="auto"/>
          <w:lang w:val="ru-RU" w:eastAsia="ru-RU" w:bidi="ru-RU"/>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 Вместе с тем, описание объекта закупки содержит, в том числе: «Виртуальное устройство с многодорожечным редактором», «Цифровое виртуальное устройство обработки электронной документации», «Цифровой профессиональный редактор немузыкальных и музыкальных звуков», «Цифровой профессиональный редактир аудио-файлов», «Цифровое виртуальное устройство обеспечения видеоконференцсвязи».</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11"/>
        <w:keepNext w:val="0"/>
        <w:keepLines w:val="0"/>
        <w:widowControl w:val="0"/>
        <w:numPr>
          <w:ilvl w:val="0"/>
          <w:numId w:val="17"/>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11"/>
        <w:keepNext w:val="0"/>
        <w:keepLines w:val="0"/>
        <w:widowControl w:val="0"/>
        <w:numPr>
          <w:ilvl w:val="0"/>
          <w:numId w:val="17"/>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2(1) Постановления № 1236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1"/>
        <w:keepNext w:val="0"/>
        <w:keepLines w:val="0"/>
        <w:widowControl w:val="0"/>
        <w:numPr>
          <w:ilvl w:val="0"/>
          <w:numId w:val="19"/>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11"/>
        <w:keepNext w:val="0"/>
        <w:keepLines w:val="0"/>
        <w:widowControl w:val="0"/>
        <w:numPr>
          <w:ilvl w:val="0"/>
          <w:numId w:val="19"/>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1"/>
        <w:keepNext w:val="0"/>
        <w:keepLines w:val="0"/>
        <w:widowControl w:val="0"/>
        <w:numPr>
          <w:ilvl w:val="0"/>
          <w:numId w:val="19"/>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1"/>
        <w:keepNext w:val="0"/>
        <w:keepLines w:val="0"/>
        <w:widowControl w:val="0"/>
        <w:numPr>
          <w:ilvl w:val="0"/>
          <w:numId w:val="19"/>
        </w:numPr>
        <w:shd w:val="clear" w:color="auto" w:fill="auto"/>
        <w:tabs>
          <w:tab w:pos="10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запрет, определенный п. 2 Постановления № 1236, применяется исключительно в рамках выполнения контрактных обязательств, связанных с программным обеспечением и (или) правами на него, перечисленных в п. 2(1) Постановления № 1236.</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Аналогичная правовая позиция изложена в письме Минцифры России от 15.12.2022 № П11</w:t>
        <w:softHyphen/>
        <w:t>2-05-106-94501, письме Минфина России от 29.11.2022 ^ 24-06-06/116710.</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пояснений Заказчика следует, что программные пакеты, составляющие неотъемлемую часть функционала приобретаемого оборудования, представляют собой "прошивку".</w:t>
      </w:r>
    </w:p>
    <w:p>
      <w:pPr>
        <w:pStyle w:val="Style11"/>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жалобы отсутствуют доказательства довода жалобы, в том числе отсутствуют документы и сведения опровергающие позицию Заказчика.</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силу изложенного, довод жалобы признан необоснованным.</w:t>
      </w:r>
    </w:p>
    <w:p>
      <w:pPr>
        <w:pStyle w:val="Style11"/>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11"/>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1"/>
        <w:keepNext w:val="0"/>
        <w:keepLines w:val="0"/>
        <w:widowControl w:val="0"/>
        <w:numPr>
          <w:ilvl w:val="0"/>
          <w:numId w:val="2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«Архимед» частично обоснованной.</w:t>
      </w:r>
    </w:p>
    <w:p>
      <w:pPr>
        <w:pStyle w:val="Style11"/>
        <w:keepNext w:val="0"/>
        <w:keepLines w:val="0"/>
        <w:widowControl w:val="0"/>
        <w:numPr>
          <w:ilvl w:val="0"/>
          <w:numId w:val="21"/>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 3 ст. 14, ч. 6 ст. 23 Закона.</w:t>
      </w:r>
    </w:p>
    <w:p>
      <w:pPr>
        <w:pStyle w:val="Style11"/>
        <w:keepNext w:val="0"/>
        <w:keepLines w:val="0"/>
        <w:widowControl w:val="0"/>
        <w:numPr>
          <w:ilvl w:val="0"/>
          <w:numId w:val="21"/>
        </w:numPr>
        <w:shd w:val="clear" w:color="auto" w:fill="auto"/>
        <w:tabs>
          <w:tab w:pos="99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устранении допущенных нарушений путем отмены сформированных протоколов и аннулировании закупки.</w:t>
      </w:r>
    </w:p>
    <w:p>
      <w:pPr>
        <w:pStyle w:val="Style11"/>
        <w:keepNext w:val="0"/>
        <w:keepLines w:val="0"/>
        <w:widowControl w:val="0"/>
        <w:numPr>
          <w:ilvl w:val="0"/>
          <w:numId w:val="21"/>
        </w:numPr>
        <w:shd w:val="clear" w:color="auto" w:fill="auto"/>
        <w:tabs>
          <w:tab w:pos="1006" w:val="left"/>
        </w:tabs>
        <w:bidi w:val="0"/>
        <w:spacing w:before="0" w:after="16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5"/>
        <w:keepNext w:val="0"/>
        <w:keepLines w:val="0"/>
        <w:widowControl w:val="0"/>
        <w:shd w:val="clear" w:color="auto" w:fill="auto"/>
        <w:bidi w:val="0"/>
        <w:spacing w:before="0" w:after="300" w:line="240" w:lineRule="auto"/>
        <w:ind w:left="0" w:right="0" w:firstLine="720"/>
        <w:jc w:val="left"/>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1"/>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Т.С. Акопян</w:t>
      </w:r>
    </w:p>
    <w:p>
      <w:pPr>
        <w:pStyle w:val="Style19"/>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Мост </w:t>
      </w:r>
      <w:r>
        <w:rPr>
          <w:b w:val="0"/>
          <w:bCs w:val="0"/>
          <w:spacing w:val="0"/>
          <w:w w:val="100"/>
          <w:position w:val="0"/>
          <w:shd w:val="clear" w:color="auto" w:fill="auto"/>
          <w:lang w:val="ru-RU" w:eastAsia="ru-RU" w:bidi="ru-RU"/>
        </w:rPr>
        <w:t xml:space="preserve">для </w:t>
      </w:r>
      <w:r>
        <w:rPr>
          <w:spacing w:val="0"/>
          <w:w w:val="100"/>
          <w:position w:val="0"/>
          <w:shd w:val="clear" w:color="auto" w:fill="auto"/>
          <w:lang w:val="ru-RU" w:eastAsia="ru-RU" w:bidi="ru-RU"/>
        </w:rPr>
        <w:t>подписи:</w:t>
      </w:r>
    </w:p>
    <w:p>
      <w:pPr>
        <w:pStyle w:val="Style19"/>
        <w:keepNext w:val="0"/>
        <w:keepLines w:val="0"/>
        <w:widowControl w:val="0"/>
        <w:shd w:val="clear" w:color="auto" w:fill="auto"/>
        <w:bidi w:val="0"/>
        <w:spacing w:before="0" w:after="300" w:line="240" w:lineRule="auto"/>
        <w:ind w:right="0" w:firstLine="0"/>
        <w:jc w:val="left"/>
      </w:pPr>
      <w:r>
        <w:rPr>
          <w:spacing w:val="0"/>
          <w:w w:val="100"/>
          <w:position w:val="0"/>
          <w:shd w:val="clear" w:color="auto" w:fill="auto"/>
          <w:lang w:val="ru-RU" w:eastAsia="ru-RU" w:bidi="ru-RU"/>
        </w:rPr>
        <w:t>АкОИиН Т. С.</w:t>
      </w:r>
    </w:p>
    <w:p>
      <w:pPr>
        <w:pStyle w:val="Style11"/>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1"/>
        <w:keepNext w:val="0"/>
        <w:keepLines w:val="0"/>
        <w:widowControl w:val="0"/>
        <w:shd w:val="clear" w:color="auto" w:fill="auto"/>
        <w:bidi w:val="0"/>
        <w:spacing w:before="0" w:after="160" w:line="240" w:lineRule="auto"/>
        <w:ind w:left="8520" w:right="0" w:firstLine="0"/>
        <w:jc w:val="left"/>
      </w:pPr>
      <w:r>
        <w:rPr>
          <w:color w:val="000000"/>
          <w:spacing w:val="0"/>
          <w:w w:val="100"/>
          <w:position w:val="0"/>
          <w:sz w:val="24"/>
          <w:szCs w:val="24"/>
          <w:shd w:val="clear" w:color="auto" w:fill="auto"/>
          <w:lang w:val="ru-RU" w:eastAsia="ru-RU" w:bidi="ru-RU"/>
        </w:rPr>
        <w:t>С.А. Евстратова</w:t>
      </w:r>
    </w:p>
    <w:p>
      <w:pPr>
        <w:pStyle w:val="Style19"/>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Мост </w:t>
      </w:r>
      <w:r>
        <w:rPr>
          <w:b w:val="0"/>
          <w:bCs w:val="0"/>
          <w:spacing w:val="0"/>
          <w:w w:val="100"/>
          <w:position w:val="0"/>
          <w:shd w:val="clear" w:color="auto" w:fill="auto"/>
          <w:lang w:val="ru-RU" w:eastAsia="ru-RU" w:bidi="ru-RU"/>
        </w:rPr>
        <w:t xml:space="preserve">дня </w:t>
      </w:r>
      <w:r>
        <w:rPr>
          <w:spacing w:val="0"/>
          <w:w w:val="100"/>
          <w:position w:val="0"/>
          <w:shd w:val="clear" w:color="auto" w:fill="auto"/>
          <w:lang w:val="ru-RU" w:eastAsia="ru-RU" w:bidi="ru-RU"/>
        </w:rPr>
        <w:t>подписи:</w:t>
      </w:r>
    </w:p>
    <w:p>
      <w:pPr>
        <w:pStyle w:val="Style19"/>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Евсграюна С. А.</w:t>
      </w:r>
    </w:p>
    <w:p>
      <w:pPr>
        <w:pStyle w:val="Style11"/>
        <w:keepNext w:val="0"/>
        <w:keepLines w:val="0"/>
        <w:widowControl w:val="0"/>
        <w:shd w:val="clear" w:color="auto" w:fill="auto"/>
        <w:bidi w:val="0"/>
        <w:spacing w:before="0" w:after="160" w:line="240" w:lineRule="auto"/>
        <w:ind w:left="8520" w:right="0" w:firstLine="0"/>
        <w:jc w:val="left"/>
      </w:pPr>
      <w:r>
        <w:rPr>
          <w:color w:val="000000"/>
          <w:spacing w:val="0"/>
          <w:w w:val="100"/>
          <w:position w:val="0"/>
          <w:sz w:val="24"/>
          <w:szCs w:val="24"/>
          <w:shd w:val="clear" w:color="auto" w:fill="auto"/>
          <w:lang w:val="ru-RU" w:eastAsia="ru-RU" w:bidi="ru-RU"/>
        </w:rPr>
        <w:t>А.А. Михарская</w:t>
      </w:r>
    </w:p>
    <w:p>
      <w:pPr>
        <w:pStyle w:val="Style19"/>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 xml:space="preserve">Мост </w:t>
      </w:r>
      <w:r>
        <w:rPr>
          <w:b w:val="0"/>
          <w:bCs w:val="0"/>
          <w:spacing w:val="0"/>
          <w:w w:val="100"/>
          <w:position w:val="0"/>
          <w:shd w:val="clear" w:color="auto" w:fill="auto"/>
          <w:lang w:val="ru-RU" w:eastAsia="ru-RU" w:bidi="ru-RU"/>
        </w:rPr>
        <w:t xml:space="preserve">для </w:t>
      </w:r>
      <w:r>
        <w:rPr>
          <w:spacing w:val="0"/>
          <w:w w:val="100"/>
          <w:position w:val="0"/>
          <w:shd w:val="clear" w:color="auto" w:fill="auto"/>
          <w:lang w:val="ru-RU" w:eastAsia="ru-RU" w:bidi="ru-RU"/>
        </w:rPr>
        <w:t>подписи:</w:t>
      </w:r>
    </w:p>
    <w:p>
      <w:pPr>
        <w:pStyle w:val="Style19"/>
        <w:keepNext w:val="0"/>
        <w:keepLines w:val="0"/>
        <w:widowControl w:val="0"/>
        <w:shd w:val="clear" w:color="auto" w:fill="auto"/>
        <w:bidi w:val="0"/>
        <w:spacing w:before="0" w:after="1360" w:line="240" w:lineRule="auto"/>
        <w:ind w:right="0" w:firstLine="0"/>
        <w:jc w:val="left"/>
      </w:pPr>
      <w:r>
        <w:rPr>
          <w:spacing w:val="0"/>
          <w:w w:val="100"/>
          <w:position w:val="0"/>
          <w:shd w:val="clear" w:color="auto" w:fill="auto"/>
          <w:lang w:val="ru-RU" w:eastAsia="ru-RU" w:bidi="ru-RU"/>
        </w:rPr>
        <w:t>Михарская А. А.</w:t>
      </w:r>
    </w:p>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Исп.Михарская А.А.</w:t>
      </w:r>
    </w:p>
    <w:p>
      <w:pPr>
        <w:pStyle w:val="Style11"/>
        <w:keepNext w:val="0"/>
        <w:keepLines w:val="0"/>
        <w:widowControl w:val="0"/>
        <w:shd w:val="clear" w:color="auto" w:fill="auto"/>
        <w:bidi w:val="0"/>
        <w:spacing w:before="0" w:after="2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вн.061-139</w:t>
      </w:r>
    </w:p>
    <w:sectPr>
      <w:footerReference w:type="default" r:id="rId7"/>
      <w:footerReference w:type="first" r:id="rId8"/>
      <w:footnotePr>
        <w:pos w:val="pageBottom"/>
        <w:numFmt w:val="decimal"/>
        <w:numRestart w:val="continuous"/>
      </w:footnotePr>
      <w:pgSz w:w="11900" w:h="16840"/>
      <w:pgMar w:top="1042" w:right="536" w:bottom="1178" w:left="110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10008870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2023-8102</w:t>
                          </w:r>
                        </w:p>
                      </w:txbxContent>
                    </wps:txbx>
                    <wps:bodyPr wrap="none" lIns="0" tIns="0" rIns="0" bIns="0">
                      <a:spAutoFit/>
                    </wps:bodyPr>
                  </wps:wsp>
                </a:graphicData>
              </a:graphic>
            </wp:anchor>
          </w:drawing>
        </mc:Choice>
        <mc:Fallback>
          <w:pict>
            <v:shape id="_x0000_s1031" type="#_x0000_t202" style="position:absolute;margin-left:57.pt;margin-top:788.10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10008870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2023-8102</w:t>
                          </w:r>
                        </w:p>
                      </w:txbxContent>
                    </wps:txbx>
                    <wps:bodyPr wrap="none" lIns="0" tIns="0" rIns="0" bIns="0">
                      <a:spAutoFit/>
                    </wps:bodyPr>
                  </wps:wsp>
                </a:graphicData>
              </a:graphic>
            </wp:anchor>
          </w:drawing>
        </mc:Choice>
        <mc:Fallback>
          <w:pict>
            <v:shape id="_x0000_s1033" type="#_x0000_t202" style="position:absolute;margin-left:57.25pt;margin-top:788.10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6"/>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22"/>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90"/>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Arial" w:eastAsia="Arial" w:hAnsi="Arial" w:cs="Arial"/>
      <w:b/>
      <w:bCs/>
      <w:i w:val="0"/>
      <w:iCs w:val="0"/>
      <w:smallCaps w:val="0"/>
      <w:strike w:val="0"/>
      <w:color w:val="111111"/>
      <w:sz w:val="10"/>
      <w:szCs w:val="10"/>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2"/>
      <w:szCs w:val="32"/>
      <w:u w:val="none"/>
    </w:rPr>
  </w:style>
  <w:style w:type="character" w:customStyle="1" w:styleId="CharStyle20">
    <w:name w:val="Основной текст (4)_"/>
    <w:basedOn w:val="DefaultParagraphFont"/>
    <w:link w:val="Style19"/>
    <w:rPr>
      <w:rFonts w:ascii="Arial" w:eastAsia="Arial" w:hAnsi="Arial" w:cs="Arial"/>
      <w:b/>
      <w:bCs/>
      <w:i w:val="0"/>
      <w:iCs w:val="0"/>
      <w:smallCaps w:val="0"/>
      <w:strike w:val="0"/>
      <w:color w:val="898989"/>
      <w:sz w:val="22"/>
      <w:szCs w:val="22"/>
      <w:u w:val="none"/>
    </w:rPr>
  </w:style>
  <w:style w:type="paragraph" w:customStyle="1" w:styleId="Style2">
    <w:name w:val="Основной текст (3)"/>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2)"/>
    <w:basedOn w:val="Normal"/>
    <w:link w:val="CharStyle6"/>
    <w:pPr>
      <w:widowControl w:val="0"/>
      <w:shd w:val="clear" w:color="auto" w:fill="auto"/>
      <w:spacing w:after="20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120" w:line="252" w:lineRule="auto"/>
      <w:ind w:firstLine="320"/>
    </w:pPr>
    <w:rPr>
      <w:rFonts w:ascii="Arial" w:eastAsia="Arial" w:hAnsi="Arial" w:cs="Arial"/>
      <w:b/>
      <w:bCs/>
      <w:i w:val="0"/>
      <w:iCs w:val="0"/>
      <w:smallCaps w:val="0"/>
      <w:strike w:val="0"/>
      <w:color w:val="111111"/>
      <w:sz w:val="10"/>
      <w:szCs w:val="10"/>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7">
    <w:name w:val="Заголовок №1"/>
    <w:basedOn w:val="Normal"/>
    <w:link w:val="CharStyle18"/>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19">
    <w:name w:val="Основной текст (4)"/>
    <w:basedOn w:val="Normal"/>
    <w:link w:val="CharStyle20"/>
    <w:pPr>
      <w:widowControl w:val="0"/>
      <w:shd w:val="clear" w:color="auto" w:fill="auto"/>
      <w:spacing w:after="230"/>
      <w:ind w:left="3360"/>
    </w:pPr>
    <w:rPr>
      <w:rFonts w:ascii="Arial" w:eastAsia="Arial" w:hAnsi="Arial" w:cs="Arial"/>
      <w:b/>
      <w:bCs/>
      <w:i w:val="0"/>
      <w:iCs w:val="0"/>
      <w:smallCaps w:val="0"/>
      <w:strike w:val="0"/>
      <w:color w:val="898989"/>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Постановление Правительства РФ от 10.07.2019 N 878(ред. от 27.03.2023)"О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Федерации"(вместе с "Правилами формирования и ведения единого реест</dc:title>
  <dc:subject/>
  <dc:creator/>
  <cp:keywords/>
</cp:coreProperties>
</file>