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ООО «РТС-тендер»</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121151, г. Москва, набережная Тараса</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Шевченко, 23А</w:t>
      </w:r>
    </w:p>
    <w:p>
      <w:pPr>
        <w:pStyle w:val="Style2"/>
        <w:keepNext w:val="0"/>
        <w:keepLines w:val="0"/>
        <w:framePr w:w="10181" w:h="7901" w:wrap="none" w:hAnchor="page" w:x="1117" w:y="879"/>
        <w:widowControl w:val="0"/>
        <w:shd w:val="clear" w:color="auto" w:fill="auto"/>
        <w:bidi w:val="0"/>
        <w:spacing w:before="0" w:after="260" w:line="240" w:lineRule="auto"/>
        <w:ind w:left="5300" w:right="0" w:firstLine="0"/>
        <w:jc w:val="left"/>
      </w:pPr>
      <w:r>
        <w:rPr>
          <w:color w:val="000000"/>
          <w:spacing w:val="0"/>
          <w:w w:val="100"/>
          <w:position w:val="0"/>
          <w:shd w:val="clear" w:color="auto" w:fill="auto"/>
          <w:lang w:val="ru-RU" w:eastAsia="ru-RU" w:bidi="ru-RU"/>
        </w:rPr>
        <w:t>ко@г1§-1еп^ег.ги</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Общество с ограниченной ответственностью "Апгрейт"</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344022, г. Ростов-на-Дону, ул.</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Станиславского, №167/25, офис 602</w:t>
      </w:r>
    </w:p>
    <w:p>
      <w:pPr>
        <w:pStyle w:val="Style2"/>
        <w:keepNext w:val="0"/>
        <w:keepLines w:val="0"/>
        <w:framePr w:w="10181" w:h="7901" w:wrap="none" w:hAnchor="page" w:x="1117" w:y="879"/>
        <w:widowControl w:val="0"/>
        <w:shd w:val="clear" w:color="auto" w:fill="auto"/>
        <w:bidi w:val="0"/>
        <w:spacing w:before="0" w:after="260" w:line="240" w:lineRule="auto"/>
        <w:ind w:left="5300" w:right="0" w:firstLine="0"/>
        <w:jc w:val="left"/>
      </w:pPr>
      <w:r>
        <w:rPr>
          <w:color w:val="000000"/>
          <w:spacing w:val="0"/>
          <w:w w:val="100"/>
          <w:position w:val="0"/>
          <w:shd w:val="clear" w:color="auto" w:fill="auto"/>
          <w:lang w:val="ru-RU" w:eastAsia="ru-RU" w:bidi="ru-RU"/>
        </w:rPr>
        <w:t>а§^456^8х96@уапйех.ги</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ГБУ РО "Центральная районная больница" в Цимлянском районе</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347320, Ростовская обл, Цимлянский р-н, Цимлянск г, УЛ. КАРЛА МАРКСА, Д.15</w:t>
      </w:r>
    </w:p>
    <w:p>
      <w:pPr>
        <w:pStyle w:val="Style2"/>
        <w:keepNext w:val="0"/>
        <w:keepLines w:val="0"/>
        <w:framePr w:w="10181" w:h="7901" w:wrap="none" w:hAnchor="page" w:x="1117" w:y="879"/>
        <w:widowControl w:val="0"/>
        <w:shd w:val="clear" w:color="auto" w:fill="auto"/>
        <w:bidi w:val="0"/>
        <w:spacing w:before="0" w:after="260" w:line="240" w:lineRule="auto"/>
        <w:ind w:left="5300" w:right="0" w:firstLine="0"/>
        <w:jc w:val="left"/>
      </w:pPr>
      <w:r>
        <w:rPr>
          <w:color w:val="000000"/>
          <w:spacing w:val="0"/>
          <w:w w:val="100"/>
          <w:position w:val="0"/>
          <w:shd w:val="clear" w:color="auto" w:fill="auto"/>
          <w:lang w:val="ru-RU" w:eastAsia="ru-RU" w:bidi="ru-RU"/>
        </w:rPr>
        <w:t>с1Ъ/акирк1@та11.П1</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БАБУНОВА ВАЛЕРИЯ МИХАЙЛОВНА</w:t>
      </w:r>
    </w:p>
    <w:p>
      <w:pPr>
        <w:pStyle w:val="Style2"/>
        <w:keepNext w:val="0"/>
        <w:keepLines w:val="0"/>
        <w:framePr w:w="10181" w:h="7901" w:wrap="none" w:hAnchor="page" w:x="1117" w:y="879"/>
        <w:widowControl w:val="0"/>
        <w:shd w:val="clear" w:color="auto" w:fill="auto"/>
        <w:bidi w:val="0"/>
        <w:spacing w:before="0" w:after="0" w:line="240" w:lineRule="auto"/>
        <w:ind w:left="5300" w:right="0" w:firstLine="0"/>
        <w:jc w:val="left"/>
      </w:pPr>
      <w:r>
        <w:rPr>
          <w:color w:val="000000"/>
          <w:spacing w:val="0"/>
          <w:w w:val="100"/>
          <w:position w:val="0"/>
          <w:shd w:val="clear" w:color="auto" w:fill="auto"/>
          <w:lang w:val="ru-RU" w:eastAsia="ru-RU" w:bidi="ru-RU"/>
        </w:rPr>
        <w:t>180002, ПСКОВ, Мирная, 11, 4</w:t>
      </w:r>
    </w:p>
    <w:p>
      <w:pPr>
        <w:pStyle w:val="Style2"/>
        <w:keepNext w:val="0"/>
        <w:keepLines w:val="0"/>
        <w:framePr w:w="10181" w:h="7901" w:wrap="none" w:hAnchor="page" w:x="1117" w:y="879"/>
        <w:widowControl w:val="0"/>
        <w:shd w:val="clear" w:color="auto" w:fill="auto"/>
        <w:bidi w:val="0"/>
        <w:spacing w:before="0" w:after="320" w:line="240" w:lineRule="auto"/>
        <w:ind w:left="5300" w:right="0" w:firstLine="0"/>
        <w:jc w:val="left"/>
      </w:pPr>
      <w:r>
        <w:rPr>
          <w:color w:val="000000"/>
          <w:spacing w:val="0"/>
          <w:w w:val="100"/>
          <w:position w:val="0"/>
          <w:shd w:val="clear" w:color="auto" w:fill="auto"/>
          <w:lang w:val="ru-RU" w:eastAsia="ru-RU" w:bidi="ru-RU"/>
        </w:rPr>
        <w:t>ЬаЬипоVа-98@уап^еx.^и</w:t>
      </w:r>
    </w:p>
    <w:p>
      <w:pPr>
        <w:pStyle w:val="Style2"/>
        <w:keepNext w:val="0"/>
        <w:keepLines w:val="0"/>
        <w:framePr w:w="10181" w:h="7901" w:wrap="none" w:hAnchor="page" w:x="1117" w:y="879"/>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2"/>
        <w:keepNext w:val="0"/>
        <w:keepLines w:val="0"/>
        <w:framePr w:w="10181" w:h="7901" w:wrap="none" w:hAnchor="page" w:x="1117" w:y="879"/>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результатам рассмотрения дел</w:t>
        <w:br/>
        <w:t>№061/06/42-1548/2023, №061/06/42-1592/2023</w:t>
      </w:r>
    </w:p>
    <w:p>
      <w:pPr>
        <w:pStyle w:val="Style2"/>
        <w:keepNext w:val="0"/>
        <w:keepLines w:val="0"/>
        <w:framePr w:w="10181" w:h="7901" w:wrap="none" w:hAnchor="page" w:x="1117" w:y="879"/>
        <w:widowControl w:val="0"/>
        <w:shd w:val="clear" w:color="auto" w:fill="auto"/>
        <w:tabs>
          <w:tab w:pos="8088" w:val="left"/>
        </w:tabs>
        <w:bidi w:val="0"/>
        <w:spacing w:before="0" w:after="260" w:line="240" w:lineRule="auto"/>
        <w:ind w:left="0" w:right="0" w:firstLine="0"/>
        <w:jc w:val="left"/>
      </w:pPr>
      <w:r>
        <w:rPr>
          <w:color w:val="000000"/>
          <w:spacing w:val="0"/>
          <w:w w:val="100"/>
          <w:position w:val="0"/>
          <w:shd w:val="clear" w:color="auto" w:fill="auto"/>
          <w:lang w:val="ru-RU" w:eastAsia="ru-RU" w:bidi="ru-RU"/>
        </w:rPr>
        <w:t>03.05.2023</w:t>
        <w:tab/>
        <w:t>г. Ростов-на-Дону</w:t>
      </w:r>
    </w:p>
    <w:p>
      <w:pPr>
        <w:pStyle w:val="Style5"/>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5"/>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framePr w:w="3542" w:h="696" w:wrap="none" w:hAnchor="page" w:x="1453" w:y="1734"/>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5"/>
        <w:keepNext w:val="0"/>
        <w:keepLines w:val="0"/>
        <w:framePr w:w="2990" w:h="864" w:wrap="none" w:hAnchor="page" w:x="1717" w:y="2627"/>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е-таП: 1о61@Гав.§оу.ги</w:t>
      </w:r>
    </w:p>
    <w:p>
      <w:pPr>
        <w:pStyle w:val="Style8"/>
        <w:keepNext w:val="0"/>
        <w:keepLines w:val="0"/>
        <w:framePr w:w="485" w:h="250" w:wrap="none" w:hAnchor="page" w:x="1141" w:y="4110"/>
        <w:widowControl w:val="0"/>
        <w:shd w:val="clear" w:color="auto" w:fill="auto"/>
        <w:bidi w:val="0"/>
        <w:spacing w:before="0" w:after="0" w:line="240" w:lineRule="auto"/>
        <w:ind w:left="0" w:right="0" w:firstLine="0"/>
        <w:jc w:val="left"/>
        <w:rPr>
          <w:sz w:val="20"/>
          <w:szCs w:val="20"/>
        </w:rPr>
      </w:pPr>
      <w:r>
        <w:rPr>
          <w:b w:val="0"/>
          <w:bCs w:val="0"/>
          <w:spacing w:val="0"/>
          <w:w w:val="100"/>
          <w:position w:val="0"/>
          <w:sz w:val="20"/>
          <w:szCs w:val="20"/>
          <w:shd w:val="clear" w:color="auto" w:fill="auto"/>
          <w:lang w:val="ru-RU" w:eastAsia="ru-RU" w:bidi="ru-RU"/>
        </w:rPr>
        <w:t>На№</w:t>
      </w:r>
    </w:p>
    <w:p>
      <w:pPr>
        <w:pStyle w:val="Style8"/>
        <w:keepNext w:val="0"/>
        <w:keepLines w:val="0"/>
        <w:framePr w:w="226" w:h="240" w:wrap="none" w:hAnchor="page" w:x="3133" w:y="4124"/>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от</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8"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84" w:right="532" w:bottom="1216" w:left="1097"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2"/>
        <w:keepNext w:val="0"/>
        <w:keepLines w:val="0"/>
        <w:widowControl w:val="0"/>
        <w:shd w:val="clear" w:color="auto" w:fill="auto"/>
        <w:tabs>
          <w:tab w:pos="87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Председатель Комиссии:</w:t>
        <w:tab/>
        <w:t>Т.С. Акопян,</w:t>
      </w:r>
    </w:p>
    <w:p>
      <w:pPr>
        <w:pStyle w:val="Style2"/>
        <w:keepNext w:val="0"/>
        <w:keepLines w:val="0"/>
        <w:widowControl w:val="0"/>
        <w:shd w:val="clear" w:color="auto" w:fill="auto"/>
        <w:tabs>
          <w:tab w:pos="83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Члены Комиссии:</w:t>
        <w:tab/>
        <w:t>С.А. Евстратова,</w:t>
      </w:r>
    </w:p>
    <w:p>
      <w:pPr>
        <w:pStyle w:val="Style2"/>
        <w:keepNext w:val="0"/>
        <w:keepLines w:val="0"/>
        <w:widowControl w:val="0"/>
        <w:shd w:val="clear" w:color="auto" w:fill="auto"/>
        <w:bidi w:val="0"/>
        <w:spacing w:before="0" w:after="360" w:line="240" w:lineRule="auto"/>
        <w:ind w:left="0" w:right="0" w:firstLine="0"/>
        <w:jc w:val="right"/>
      </w:pPr>
      <w:r>
        <w:rPr>
          <w:color w:val="000000"/>
          <w:spacing w:val="0"/>
          <w:w w:val="100"/>
          <w:position w:val="0"/>
          <w:shd w:val="clear" w:color="auto" w:fill="auto"/>
          <w:lang w:val="ru-RU" w:eastAsia="ru-RU" w:bidi="ru-RU"/>
        </w:rPr>
        <w:t>В.О. Беркутов,</w:t>
      </w:r>
    </w:p>
    <w:p>
      <w:pPr>
        <w:pStyle w:val="Style2"/>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рассмотрев дела №061/06/42-1548/2023, №061/06/42-1592/2023 по жалобам ООО «АПгрейт» (далее - Заявитель №1) и ИП Бабуновой В.М. (далее - Заявитель №2) о нарушении ГБУ РО «Центральная районная больница» в Цимлянском районе (далее - Заказчик) при проведении электронного аукциона №0358300335523000026 «Закупка медицинского оборудования (Стойка эндоскопическая с набором инструментов для полного объема лапароскопических операций с электромеханическим морцеллятором») в рамках реализации региональных проектов модернизации первичного звена здравоохранения (Оснащение и переоснащение медицинских организаций оборудованием по перечню, утвержденному Министерством здравоохранения Российской Федерации в соответствии со стандартами оснащения медицинских</w:t>
      </w:r>
    </w:p>
    <w:p>
      <w:pPr>
        <w:pStyle w:val="Style14"/>
        <w:keepNext/>
        <w:keepLines/>
        <w:widowControl w:val="0"/>
        <w:shd w:val="clear" w:color="auto" w:fill="auto"/>
        <w:bidi w:val="0"/>
        <w:spacing w:before="0" w:after="280" w:line="240" w:lineRule="auto"/>
        <w:ind w:left="0" w:right="0" w:firstLine="0"/>
        <w:jc w:val="both"/>
        <w:rPr>
          <w:sz w:val="26"/>
          <w:szCs w:val="26"/>
        </w:rPr>
      </w:pPr>
      <w:bookmarkStart w:id="0" w:name="bookmark0"/>
      <w:r>
        <w:rPr>
          <w:color w:val="000000"/>
          <w:spacing w:val="0"/>
          <w:w w:val="100"/>
          <w:position w:val="0"/>
          <w:sz w:val="38"/>
          <w:szCs w:val="38"/>
          <w:shd w:val="clear" w:color="auto" w:fill="auto"/>
          <w:lang w:val="ru-RU" w:eastAsia="ru-RU" w:bidi="ru-RU"/>
        </w:rPr>
        <w:t>||||||||||||||||||||||||</w:t>
      </w:r>
      <w:bookmarkEnd w:id="0"/>
      <w:r>
        <w:rPr>
          <w:color w:val="000000"/>
          <w:spacing w:val="0"/>
          <w:w w:val="100"/>
          <w:position w:val="0"/>
          <w:sz w:val="38"/>
          <w:szCs w:val="38"/>
          <w:shd w:val="clear" w:color="auto" w:fill="auto"/>
          <w:lang w:val="ru-RU" w:eastAsia="ru-RU" w:bidi="ru-RU"/>
        </w:rPr>
        <w:t xml:space="preserve"> </w:t>
      </w:r>
      <w:r>
        <w:rPr>
          <w:rStyle w:val="CharStyle3"/>
        </w:rPr>
        <w:t>организаций (их структурных подразделений), предусмотренными положениями об организации оказания медицинской помощи по видам медицинской помощи, порядками оказания медицинской помощи либо правилами проведения лабораторных, инструментальных, патолого-анатомических и иных видов диагностических исследований, утвержденных Министерством здравоохранения Российской Федерации) в рамках подпрограммы «Профилактика заболеваний и формирование здорового образа жизни. Развитие первичной медико-санитарной помощи» государственной программы Ростовской области «Развитие здравоохранения» для ГБУ РО "ЦРБ" в Цимлянском районе в 2023г.»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Алиева Х.Р.О. (доверенность от 02.05.2023), представителя Заявителя №1 - Безруковой О.Э. (доверенность от 09.01.2023), в отсутствие представителя Заявителя №2,</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Ростовское УФАС России поступили жалобы Заявителей на действия Заказчика. По их мнению, Заказчик сформировал описание объекта закупки в нарушение норм Закона. Заказчик в письменных пояснениях, представленных Комиссии Ростовского УФАС России, доводы жалоб не признал.</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размещено в Единой информационной системе (ЕИС) на официальном сайте</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smallCaps/>
          <w:color w:val="000080"/>
          <w:spacing w:val="0"/>
          <w:w w:val="100"/>
          <w:position w:val="0"/>
          <w:sz w:val="19"/>
          <w:szCs w:val="19"/>
          <w:u w:val="single"/>
          <w:shd w:val="clear" w:color="auto" w:fill="auto"/>
          <w:lang w:val="ru-RU" w:eastAsia="ru-RU" w:bidi="ru-RU"/>
        </w:rPr>
        <w:t>\у\у\у.</w:t>
      </w:r>
      <w:r>
        <w:rPr>
          <w:color w:val="000080"/>
          <w:spacing w:val="0"/>
          <w:w w:val="100"/>
          <w:position w:val="0"/>
          <w:u w:val="single"/>
          <w:shd w:val="clear" w:color="auto" w:fill="auto"/>
          <w:lang w:val="ru-RU" w:eastAsia="ru-RU" w:bidi="ru-RU"/>
        </w:rPr>
        <w:t>/акиркгдоу.ги</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24.04.2023, согласно которому:</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-установлены дата и время окончания подачи заявок - 02.05.2023 09:00 (МСК);</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(НМЦК) составила 9 865 000,00 рублей.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Закупка проводится в рамках реализации национального проекта «Здравоохранение».</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аукциона от 04.05.2022 на участие в данном аукционе подано две заявки, которые признаны соответствующими.</w:t>
      </w:r>
    </w:p>
    <w:p>
      <w:pPr>
        <w:pStyle w:val="Style2"/>
        <w:keepNext w:val="0"/>
        <w:keepLines w:val="0"/>
        <w:widowControl w:val="0"/>
        <w:numPr>
          <w:ilvl w:val="0"/>
          <w:numId w:val="1"/>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 Заказчиком применил позицию КТРУ при описании объекта закупки в нарушение Закона.</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Во исполнение ч.6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2"/>
        <w:keepNext w:val="0"/>
        <w:keepLines w:val="0"/>
        <w:widowControl w:val="0"/>
        <w:numPr>
          <w:ilvl w:val="0"/>
          <w:numId w:val="3"/>
        </w:numPr>
        <w:shd w:val="clear" w:color="auto" w:fill="auto"/>
        <w:tabs>
          <w:tab w:pos="111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наименование товара, работы, услуги;</w:t>
      </w:r>
    </w:p>
    <w:p>
      <w:pPr>
        <w:pStyle w:val="Style2"/>
        <w:keepNext w:val="0"/>
        <w:keepLines w:val="0"/>
        <w:widowControl w:val="0"/>
        <w:numPr>
          <w:ilvl w:val="0"/>
          <w:numId w:val="3"/>
        </w:numPr>
        <w:shd w:val="clear" w:color="auto" w:fill="auto"/>
        <w:tabs>
          <w:tab w:pos="108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2"/>
        <w:keepNext w:val="0"/>
        <w:keepLines w:val="0"/>
        <w:widowControl w:val="0"/>
        <w:numPr>
          <w:ilvl w:val="0"/>
          <w:numId w:val="3"/>
        </w:numPr>
        <w:shd w:val="clear" w:color="auto" w:fill="auto"/>
        <w:tabs>
          <w:tab w:pos="113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Заказчиком при описании объекта закупки применена позиция КТРУ 26.60.12.119-00000374 «Система эндоскопической визуализации».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ходе анализа описания объекта закупки установлено следующее.</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Заказчиком в состав закупаемого оборудования также включены: лапараскоп, измельчитель тканей для эндоскопических операций, зажимы, ножницы, инструмент для извлечения удаляемых органов, что применяется при проведении хирургического вмешательства.</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Вместе с тем, примененная Заказчиком позиция КТРУ имеет следующее описание: «</w:t>
      </w:r>
      <w:r>
        <w:rPr>
          <w:i/>
          <w:iCs/>
          <w:color w:val="000000"/>
          <w:spacing w:val="0"/>
          <w:w w:val="100"/>
          <w:position w:val="0"/>
          <w:shd w:val="clear" w:color="auto" w:fill="auto"/>
          <w:lang w:val="ru-RU" w:eastAsia="ru-RU" w:bidi="ru-RU"/>
        </w:rPr>
        <w:t xml:space="preserve">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w:t>
      </w:r>
      <w:r>
        <w:rPr>
          <w:i/>
          <w:iCs/>
          <w:color w:val="000000"/>
          <w:spacing w:val="0"/>
          <w:w w:val="100"/>
          <w:position w:val="0"/>
          <w:u w:val="single"/>
          <w:shd w:val="clear" w:color="auto" w:fill="auto"/>
          <w:lang w:val="ru-RU" w:eastAsia="ru-RU" w:bidi="ru-RU"/>
        </w:rPr>
        <w:t>осмотра/терапевтических процедур</w:t>
      </w:r>
      <w:r>
        <w:rPr>
          <w:i/>
          <w:iCs/>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состав закупаемого оборудования не соответствует описанию примененной позиции КТРУ.</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Кроме того, в каталог товаров, работ, услуг среди прочих включена позиция 26.60.12.119-00000745 "Комплект электромеханического оборудования для эндоскопической хирургии»" (обязательное применение с 15.09.2020 года - бессрочно), которая содержит обязательные для применения характеристики товара.</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формировании извещения, описания объекта закупки Заказчиком не использована обязательная позиция КТРУ.</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основании изложенного, Комиссия приходит к выводу, что действия Заказчика нарушают ч.6 ст.23 Закона, доводы жалоб признаны обоснованными.</w:t>
      </w:r>
    </w:p>
    <w:p>
      <w:pPr>
        <w:pStyle w:val="Style2"/>
        <w:keepNext w:val="0"/>
        <w:keepLines w:val="0"/>
        <w:widowControl w:val="0"/>
        <w:numPr>
          <w:ilvl w:val="0"/>
          <w:numId w:val="1"/>
        </w:numPr>
        <w:shd w:val="clear" w:color="auto" w:fill="auto"/>
        <w:tabs>
          <w:tab w:pos="105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Заявителя №1, Заказчик в нарушение Закона сформировал описание объекта закупки таким образом, что в совокупности установленных характеристик невозможна поставка товара ни одного производителя.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Положения законодательства о контрактной системе не обязывают заказчика формировать описание объекта закупки так, чтобы оно соответствовало всем товарам, представленным на соответствующем рынке, либо соответствовало товарам только российского происхождения.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Заявителем в материалы дела представлена сравнительная таблица, с указанием конкретных характеристик, препятствующих поставке товара по данной закупке.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опровержение довода Заявителя представлена сравнительная таблица с пояснениями по оспариваемым характеристикам.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Ростовского УФАС России отмечает, что позиция Заказчика не имеет документального подтверждения. В ходе рассмотрения настоящего дела представитель Заказчика не смог указать источник информации, представленной в возражениях на жалобу, в частности представить официальные документы (регистрационные удостоверения, письма производителей, инструкции и руководства пользователя), подтверждающие возможность осуществить поставку какого-либо товара.</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довод жалобы признан обоснованным, Заказчиком нарушена ч.1 ст. 33 Закона.</w:t>
      </w:r>
    </w:p>
    <w:p>
      <w:pPr>
        <w:pStyle w:val="Style2"/>
        <w:keepNext w:val="0"/>
        <w:keepLines w:val="0"/>
        <w:widowControl w:val="0"/>
        <w:numPr>
          <w:ilvl w:val="0"/>
          <w:numId w:val="1"/>
        </w:numPr>
        <w:shd w:val="clear" w:color="auto" w:fill="auto"/>
        <w:tabs>
          <w:tab w:pos="105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Заявителя №1, Заказчик подготовил обоснование использования нестандартных характеристик в нарушение норм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w:t>
      </w:r>
      <w:r>
        <w:rPr>
          <w:color w:val="111111"/>
          <w:spacing w:val="0"/>
          <w:w w:val="100"/>
          <w:position w:val="0"/>
          <w:shd w:val="clear" w:color="auto" w:fill="auto"/>
          <w:lang w:val="ru-RU" w:eastAsia="ru-RU" w:bidi="ru-RU"/>
        </w:rPr>
        <w:t>со статьей 33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п.2 ч.1 ст. 33 Закона заказчик, при описании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w:t>
      </w:r>
      <w:r>
        <w:rPr>
          <w:color w:val="000000"/>
          <w:spacing w:val="0"/>
          <w:w w:val="100"/>
          <w:position w:val="0"/>
          <w:shd w:val="clear" w:color="auto" w:fill="auto"/>
          <w:lang w:val="ru-RU" w:eastAsia="ru-RU" w:bidi="ru-RU"/>
        </w:rPr>
        <w:t xml:space="preserve">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w:t>
      </w:r>
      <w:r>
        <w:rPr>
          <w:color w:val="000000"/>
          <w:spacing w:val="0"/>
          <w:w w:val="100"/>
          <w:position w:val="0"/>
          <w:u w:val="single"/>
          <w:shd w:val="clear" w:color="auto" w:fill="auto"/>
          <w:lang w:val="ru-RU" w:eastAsia="ru-RU" w:bidi="ru-RU"/>
        </w:rPr>
        <w:t>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согласно описанию объекта закупки, характеристики товара определены в том числе с использованием ГОСТ Р 56278-2014 «Национальный стандарт Российской Федерации. Изделия медицинские электрические. Видеоэндоскопические комплексы с установками для ультразвуковой и флуоресцентной эндоскопии. Технические требования для государственных закупок» (далее - ГОСТ Р 56278-2014).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Данный стандарт устанавливает общие требования к подготовке проведения государственных закупок медицинского оборудования (МО): видеоэндоскопические комплексы с установками для ультразвуковой и флуоресцентной эндоскопии (далее - ВЭ комплексы), предназначенные для диагностики различных заболеваний в организме человека.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 26 Федерального закона от 29.06.2015 ^ 162-ФЗ "О стандартизации в Российской Федерации" определено, что документы национальной системы стандартизации применяются на добровольной основе одинаковым образом и в равной мере независимо от страны и (или) места происхождения продукции (товаров, работ, услуг), если иное не установлено законодательством Российской Федерации.</w:t>
      </w:r>
    </w:p>
    <w:p>
      <w:pPr>
        <w:pStyle w:val="Style2"/>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Изучив описание объекта закупки, Комиссия установила, что Заказчик использовал предусмотренные ГОСТ Р 56278-2014 характеристики и включил дополнительные, например:</w:t>
      </w:r>
    </w:p>
    <w:tbl>
      <w:tblPr>
        <w:tblOverlap w:val="never"/>
        <w:jc w:val="center"/>
        <w:tblLayout w:type="fixed"/>
      </w:tblPr>
      <w:tblGrid>
        <w:gridCol w:w="4546"/>
        <w:gridCol w:w="5664"/>
      </w:tblGrid>
      <w:tr>
        <w:trPr>
          <w:trHeight w:val="1205" w:hRule="exact"/>
        </w:trPr>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Длина шнура блока розеток, не менее</w:t>
            </w: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ГОСТ Р 56278-2014 п.4.3.2 Таблица 1</w:t>
            </w:r>
          </w:p>
        </w:tc>
      </w:tr>
      <w:tr>
        <w:trPr>
          <w:trHeight w:val="1200" w:hRule="exact"/>
        </w:trPr>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Полки регулируются по высоте, с шагом не менее 50 мм</w:t>
            </w: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ГОСТ Р 56278-2014 п.4.3.2 Таблица 1</w:t>
            </w:r>
          </w:p>
        </w:tc>
      </w:tr>
      <w:tr>
        <w:trPr>
          <w:trHeight w:val="1205" w:hRule="exact"/>
        </w:trPr>
        <w:tc>
          <w:tcPr>
            <w:tcBorders>
              <w:top w:val="single" w:sz="4"/>
              <w:left w:val="single" w:sz="4"/>
              <w:bottom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Выдвижной ящик с замком</w:t>
            </w:r>
          </w:p>
        </w:tc>
        <w:tc>
          <w:tcPr>
            <w:tcBorders>
              <w:top w:val="single" w:sz="4"/>
              <w:left w:val="single" w:sz="4"/>
              <w:bottom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ГОСТ Р 56278-2014 п.4.3.2 Таблица 1</w:t>
            </w:r>
          </w:p>
        </w:tc>
      </w:tr>
    </w:tbl>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 этом, ГОСТ Р 56278-2014 не содержит таких характеристик, ввиду чего указание Заказчиком обоснования необходимости использования такой характеристики таким образом является нарушением ч. 1 ст. 33 Закона. Довод жалобы признан обоснованным.</w:t>
      </w:r>
    </w:p>
    <w:p>
      <w:pPr>
        <w:pStyle w:val="Style2"/>
        <w:keepNext w:val="0"/>
        <w:keepLines w:val="0"/>
        <w:widowControl w:val="0"/>
        <w:numPr>
          <w:ilvl w:val="0"/>
          <w:numId w:val="1"/>
        </w:numPr>
        <w:shd w:val="clear" w:color="auto" w:fill="auto"/>
        <w:tabs>
          <w:tab w:pos="10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Заявителя №2, Заказчик сформировал описание объекта закупки в нарушение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w:t>
      </w:r>
      <w:r>
        <w:rPr>
          <w:color w:val="111111"/>
          <w:spacing w:val="0"/>
          <w:w w:val="100"/>
          <w:position w:val="0"/>
          <w:shd w:val="clear" w:color="auto" w:fill="auto"/>
          <w:lang w:val="ru-RU" w:eastAsia="ru-RU" w:bidi="ru-RU"/>
        </w:rPr>
        <w:t>со статьей 33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п.1 ч.1 ст. 33 Закона Заказчик при описании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Pr>
          <w:color w:val="000000"/>
          <w:spacing w:val="0"/>
          <w:w w:val="100"/>
          <w:position w:val="0"/>
          <w:u w:val="single"/>
          <w:shd w:val="clear" w:color="auto" w:fill="auto"/>
          <w:lang w:val="ru-RU" w:eastAsia="ru-RU" w:bidi="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color w:val="000000"/>
          <w:spacing w:val="0"/>
          <w:w w:val="100"/>
          <w:position w:val="0"/>
          <w:shd w:val="clear" w:color="auto" w:fill="auto"/>
          <w:lang w:val="ru-RU" w:eastAsia="ru-RU" w:bidi="ru-RU"/>
        </w:rPr>
        <w:t>.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Ростовского УФАС России в ходе рассмотрения настоящего дела установлено, что Заказчиком в описании объекта закупки указаны торговые наименования &lt;^е481шЬте, К. 81огх, К.^ЫГ, О1утри§» без сопровождения такого указания словами «или эквивалент».</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по позиции 13.18 описания объекта закупки Заказчиком указано требование конкретной модели оборудования &lt;КРА 1001».</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Таким образом, довод жалобы признан обоснованным, Заказчик нарушившим ч.1 ст.33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установлено следующее.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1, 3 ч. 2 ст. 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 п.2 ч. 1 ст. 43 Закона,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ч. 3 ст. 43 Закона требовать от участника закупки представления иных информации и документов, за исключением предусмотренных частью 1 настоящей статьи, не допускается.</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п.п. «д» п. 10 Правил формирования каталога товаров, работ, услуг, утвержденных Постановлением Правительства РФ от 08.02.2017 №145, в справочную информацию позиций каталога (раздел «Справочная информация» вкладки «Общая информация» позиции каталога в единой информационной системе в сфере закупок) по медицинским изделиям включается информация в соответствии с номенклатурной классификацией медицинских изделий, утвержденной приказом Минздрава России от 06.06.2012 №4н. Так, в позиции каталога указываются вид медицинского изделия в числовом выражении (код), наименование вида медицинского изделия, а также классификационные признаки вида медицинского изделия, указываемые в зависимости от назначения медицинского изделия.</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этом указанная справочная информация не образует описания объекта закупки в понимании ст. 33 Закона и не включена в перечень информации, подлежащей в соответствии с п.4 Правил использования каталога обязательному использованию Заказчиком при осуществлении закупки.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Так, в приложении к извещению «Требования к содержанию и составу заявки» установлено следующее требование: </w:t>
      </w:r>
      <w:r>
        <w:rPr>
          <w:i/>
          <w:iCs/>
          <w:color w:val="000000"/>
          <w:spacing w:val="0"/>
          <w:w w:val="100"/>
          <w:position w:val="0"/>
          <w:shd w:val="clear" w:color="auto" w:fill="auto"/>
          <w:lang w:val="ru-RU" w:eastAsia="ru-RU" w:bidi="ru-RU"/>
        </w:rPr>
        <w:t>«Наименование предлагаемого к поставке товара(ов) участник аукциона указывает в соответствии с наименованием медицинского изделия согласно регистрационному удостоверению, выданному Федеральной службой по надзору в сфере здравоохранения с обязательным указанием модификации (варианта исполнения, модели, типа) медицинского изделия (при наличии данных сведений в регистрационном удостоверении).</w:t>
      </w: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Вместе с тем, в описании объекта закупки Заказчиком указано:</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 xml:space="preserve">Заявки с Регистрационным удостоверением, не относящиеся к коду вида номенклатурной классификации медицинского изделия </w:t>
      </w:r>
      <w:r>
        <w:rPr>
          <w:i/>
          <w:iCs/>
          <w:color w:val="000000"/>
          <w:spacing w:val="0"/>
          <w:w w:val="100"/>
          <w:position w:val="0"/>
          <w:u w:val="single"/>
          <w:shd w:val="clear" w:color="auto" w:fill="auto"/>
          <w:lang w:val="ru-RU" w:eastAsia="ru-RU" w:bidi="ru-RU"/>
        </w:rPr>
        <w:t>271790,</w:t>
      </w:r>
      <w:r>
        <w:rPr>
          <w:i/>
          <w:iCs/>
          <w:color w:val="000000"/>
          <w:spacing w:val="0"/>
          <w:w w:val="100"/>
          <w:position w:val="0"/>
          <w:shd w:val="clear" w:color="auto" w:fill="auto"/>
          <w:lang w:val="ru-RU" w:eastAsia="ru-RU" w:bidi="ru-RU"/>
        </w:rPr>
        <w:t xml:space="preserve"> будут отклонены, на основании НЕЦЕЛЕВОГО ИСПОЛЬЗОВАНИЯ ФИНАНСИРОВАНИЯ!!! (Закупка медицинского оборудования в соответствии с Разделом I "Перечень медицинских изделий" Приказа Минздрава России от 28.12.2020 ^ 1379н "Об утверждении перечня оборудования для оснащения и переоснащения медицинских организаций при реализации региональных программ модернизации первичного звена здравоохранения" в рамках региональной программы «Модернизация первичного звена здравоохранения» (Постановление Правительства РО от 15.12.2020 № 360) Наименование предлагаемого к поставке товара медицинского изделия участник аукциона указывает строго в соответствии с наименованием медицинского изделия согласно регистрационному удостоверению, выданному Федеральной службой по надзору в сфере здравоохранения.».</w:t>
      </w:r>
    </w:p>
    <w:p>
      <w:pPr>
        <w:pStyle w:val="Style2"/>
        <w:keepNext w:val="0"/>
        <w:keepLines w:val="0"/>
        <w:widowControl w:val="0"/>
        <w:shd w:val="clear" w:color="auto" w:fill="auto"/>
        <w:bidi w:val="0"/>
        <w:spacing w:before="0" w:after="340" w:line="240" w:lineRule="auto"/>
        <w:ind w:left="0" w:right="0" w:firstLine="760"/>
        <w:jc w:val="both"/>
      </w:pPr>
      <w:r>
        <w:rPr>
          <w:color w:val="000000"/>
          <w:spacing w:val="0"/>
          <w:w w:val="100"/>
          <w:position w:val="0"/>
          <w:shd w:val="clear" w:color="auto" w:fill="auto"/>
          <w:lang w:val="ru-RU" w:eastAsia="ru-RU" w:bidi="ru-RU"/>
        </w:rPr>
        <w:t xml:space="preserve">Комиссия Ростовского УФАС России отмечает, что код вида медицинского изделия не относится ни к конкретным показателям товара (ни качественная характеристика, ни эксплуатационная, ни техническая), не является товарным знаком и не является указанием на страну происхождения, следовательно, он не подлежит указанию в заявке. Также сам код не является документом, подтверждающим соответствие товара требованиям законодательства РФ, поскольку таковым документом является регистрационное удостоверение, следовательно, в составе заявки отдельно не указывается. Из изложенного следует, что код вида не подлежит указанию в заявке, и </w:t>
      </w:r>
      <w:r>
        <w:rPr>
          <w:color w:val="000000"/>
          <w:spacing w:val="0"/>
          <w:w w:val="100"/>
          <w:position w:val="0"/>
          <w:shd w:val="clear" w:color="auto" w:fill="auto"/>
          <w:lang w:val="ru-RU" w:eastAsia="ru-RU" w:bidi="ru-RU"/>
        </w:rPr>
        <w:t>как следствие, не может стать основанием для ее отклонения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включив в описание объекта закупки указание на код вида медицинского изделия, Заказчик нарушил ч. 2 ст. 42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Аналогичная правовая позиция изложена в письмах Минфина России от 04.09.2020 №24-06-08/77872, от 23.03.2020 №24-06-07/22512, от 21.01.2020 №24-06- 07/2815.</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Постановления Правительства Российской Федерации от 26.08.2013 №728, в соответствии со ст.ст.99,106 Закона,</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2"/>
        <w:keepNext w:val="0"/>
        <w:keepLines w:val="0"/>
        <w:widowControl w:val="0"/>
        <w:numPr>
          <w:ilvl w:val="0"/>
          <w:numId w:val="5"/>
        </w:numPr>
        <w:shd w:val="clear" w:color="auto" w:fill="auto"/>
        <w:tabs>
          <w:tab w:pos="1424" w:val="left"/>
        </w:tabs>
        <w:bidi w:val="0"/>
        <w:spacing w:before="0" w:after="0" w:line="240" w:lineRule="auto"/>
        <w:ind w:left="1440" w:right="0" w:hanging="360"/>
        <w:jc w:val="both"/>
      </w:pPr>
      <w:r>
        <w:rPr>
          <w:color w:val="000000"/>
          <w:spacing w:val="0"/>
          <w:w w:val="100"/>
          <w:position w:val="0"/>
          <w:shd w:val="clear" w:color="auto" w:fill="auto"/>
          <w:lang w:val="ru-RU" w:eastAsia="ru-RU" w:bidi="ru-RU"/>
        </w:rPr>
        <w:t>Признать жалобу ООО «АПгрейт» обоснованной.</w:t>
      </w:r>
    </w:p>
    <w:p>
      <w:pPr>
        <w:pStyle w:val="Style2"/>
        <w:keepNext w:val="0"/>
        <w:keepLines w:val="0"/>
        <w:widowControl w:val="0"/>
        <w:numPr>
          <w:ilvl w:val="0"/>
          <w:numId w:val="5"/>
        </w:numPr>
        <w:shd w:val="clear" w:color="auto" w:fill="auto"/>
        <w:tabs>
          <w:tab w:pos="1453" w:val="left"/>
        </w:tabs>
        <w:bidi w:val="0"/>
        <w:spacing w:before="0" w:after="0" w:line="240" w:lineRule="auto"/>
        <w:ind w:left="1440" w:right="0" w:hanging="360"/>
        <w:jc w:val="both"/>
      </w:pPr>
      <w:r>
        <w:rPr>
          <w:color w:val="000000"/>
          <w:spacing w:val="0"/>
          <w:w w:val="100"/>
          <w:position w:val="0"/>
          <w:shd w:val="clear" w:color="auto" w:fill="auto"/>
          <w:lang w:val="ru-RU" w:eastAsia="ru-RU" w:bidi="ru-RU"/>
        </w:rPr>
        <w:t>Признать жалобу ИП Бабуновой В.М. обоснованной.</w:t>
      </w:r>
    </w:p>
    <w:p>
      <w:pPr>
        <w:pStyle w:val="Style2"/>
        <w:keepNext w:val="0"/>
        <w:keepLines w:val="0"/>
        <w:widowControl w:val="0"/>
        <w:numPr>
          <w:ilvl w:val="0"/>
          <w:numId w:val="5"/>
        </w:numPr>
        <w:shd w:val="clear" w:color="auto" w:fill="auto"/>
        <w:tabs>
          <w:tab w:pos="1448" w:val="left"/>
        </w:tabs>
        <w:bidi w:val="0"/>
        <w:spacing w:before="0" w:after="0" w:line="240" w:lineRule="auto"/>
        <w:ind w:left="1440" w:right="0" w:hanging="360"/>
        <w:jc w:val="both"/>
      </w:pPr>
      <w:r>
        <w:rPr>
          <w:color w:val="000000"/>
          <w:spacing w:val="0"/>
          <w:w w:val="100"/>
          <w:position w:val="0"/>
          <w:shd w:val="clear" w:color="auto" w:fill="auto"/>
          <w:lang w:val="ru-RU" w:eastAsia="ru-RU" w:bidi="ru-RU"/>
        </w:rPr>
        <w:t>Признать Заказчика нарушившим ч.6 ст.23, ч.1,2 ст. 33, ч. 2 ст. 42 Закона.</w:t>
      </w:r>
    </w:p>
    <w:p>
      <w:pPr>
        <w:pStyle w:val="Style2"/>
        <w:keepNext w:val="0"/>
        <w:keepLines w:val="0"/>
        <w:widowControl w:val="0"/>
        <w:numPr>
          <w:ilvl w:val="0"/>
          <w:numId w:val="5"/>
        </w:numPr>
        <w:shd w:val="clear" w:color="auto" w:fill="auto"/>
        <w:tabs>
          <w:tab w:pos="1453" w:val="left"/>
        </w:tabs>
        <w:bidi w:val="0"/>
        <w:spacing w:before="0" w:after="0" w:line="240" w:lineRule="auto"/>
        <w:ind w:left="1440" w:right="0" w:hanging="360"/>
        <w:jc w:val="both"/>
      </w:pPr>
      <w:r>
        <w:rPr>
          <w:color w:val="000000"/>
          <w:spacing w:val="0"/>
          <w:w w:val="100"/>
          <w:position w:val="0"/>
          <w:shd w:val="clear" w:color="auto" w:fill="auto"/>
          <w:lang w:val="ru-RU" w:eastAsia="ru-RU" w:bidi="ru-RU"/>
        </w:rPr>
        <w:t>Выдать Заказчику, аукционной комиссии Заказчика обязательное для исполнения предписание об устранении допущенных нарушений путем отмены всех сформированных протоколов, внесении изменений в извещение согласно нормам Закона и с учетом настоящего решения.</w:t>
      </w:r>
    </w:p>
    <w:p>
      <w:pPr>
        <w:pStyle w:val="Style2"/>
        <w:keepNext w:val="0"/>
        <w:keepLines w:val="0"/>
        <w:widowControl w:val="0"/>
        <w:numPr>
          <w:ilvl w:val="0"/>
          <w:numId w:val="5"/>
        </w:numPr>
        <w:shd w:val="clear" w:color="auto" w:fill="auto"/>
        <w:tabs>
          <w:tab w:pos="1443" w:val="left"/>
        </w:tabs>
        <w:bidi w:val="0"/>
        <w:spacing w:before="0" w:after="280" w:line="240" w:lineRule="auto"/>
        <w:ind w:left="1440" w:right="0" w:hanging="360"/>
        <w:jc w:val="both"/>
      </w:pPr>
      <w:r>
        <w:rPr>
          <w:color w:val="000000"/>
          <w:spacing w:val="0"/>
          <w:w w:val="100"/>
          <w:position w:val="0"/>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2"/>
        <w:keepNext w:val="0"/>
        <w:keepLines w:val="0"/>
        <w:widowControl w:val="0"/>
        <w:shd w:val="clear" w:color="auto" w:fill="auto"/>
        <w:bidi w:val="0"/>
        <w:spacing w:before="0" w:after="340" w:line="240" w:lineRule="auto"/>
        <w:ind w:left="0" w:right="0" w:firstLine="720"/>
        <w:jc w:val="both"/>
      </w:pPr>
      <w:r>
        <w:rPr>
          <w:i/>
          <w:iCs/>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
        <w:keepNext w:val="0"/>
        <w:framePr w:dropCap="drop" w:hAnchor="text" w:lines="3" w:vAnchor="text" w:hSpace="19" w:vSpace="19"/>
        <w:widowControl w:val="0"/>
        <w:shd w:val="clear" w:color="auto" w:fill="auto"/>
        <w:spacing w:before="0" w:line="14" w:lineRule="exact"/>
        <w:ind w:left="0" w:firstLine="0"/>
      </w:pPr>
      <w:r>
        <w:rPr>
          <w:rFonts w:ascii="Arial" w:eastAsia="Arial" w:hAnsi="Arial" w:cs="Arial"/>
          <w:color w:val="000000"/>
          <w:spacing w:val="0"/>
          <w:w w:val="100"/>
          <w:position w:val="0"/>
          <w:sz w:val="8"/>
          <w:szCs w:val="8"/>
          <w:shd w:val="clear" w:color="auto" w:fill="auto"/>
          <w:lang w:val="ru-RU" w:eastAsia="ru-RU" w:bidi="ru-RU"/>
        </w:rPr>
        <w:t>1</w:t>
      </w:r>
    </w:p>
    <w:p>
      <w:pPr>
        <w:pStyle w:val="Style2"/>
        <w:keepNext w:val="0"/>
        <w:keepLines w:val="0"/>
        <w:widowControl w:val="0"/>
        <w:shd w:val="clear" w:color="auto" w:fill="auto"/>
        <w:bidi w:val="0"/>
        <w:spacing w:before="0" w:after="120" w:line="240" w:lineRule="auto"/>
        <w:ind w:left="3360" w:right="0" w:firstLine="0"/>
        <w:jc w:val="left"/>
      </w:pPr>
      <w:r>
        <w:rPr>
          <w:color w:val="000000"/>
          <w:spacing w:val="0"/>
          <w:w w:val="100"/>
          <w:position w:val="0"/>
          <w:shd w:val="clear" w:color="auto" w:fill="auto"/>
          <w:lang w:val="ru-RU" w:eastAsia="ru-RU" w:bidi="ru-RU"/>
        </w:rPr>
        <w:t>Т.С. Акопян</w:t>
      </w:r>
    </w:p>
    <w:p>
      <w:pPr>
        <w:pStyle w:val="Style2"/>
        <w:keepNext w:val="0"/>
        <w:keepLines w:val="0"/>
        <w:widowControl w:val="0"/>
        <w:shd w:val="clear" w:color="auto" w:fill="auto"/>
        <w:bidi w:val="0"/>
        <w:spacing w:before="0" w:after="120" w:line="240" w:lineRule="auto"/>
        <w:ind w:left="3360" w:right="0" w:firstLine="0"/>
        <w:jc w:val="left"/>
      </w:pPr>
      <w:r>
        <w:rPr>
          <w:b/>
          <w:bCs/>
          <w:color w:val="858485"/>
          <w:spacing w:val="0"/>
          <w:w w:val="100"/>
          <w:position w:val="0"/>
          <w:shd w:val="clear" w:color="auto" w:fill="auto"/>
          <w:lang w:val="ru-RU" w:eastAsia="ru-RU" w:bidi="ru-RU"/>
        </w:rPr>
        <w:t xml:space="preserve">Моего </w:t>
      </w:r>
      <w:r>
        <w:rPr>
          <w:rFonts w:ascii="Arial" w:eastAsia="Arial" w:hAnsi="Arial" w:cs="Arial"/>
          <w:color w:val="858485"/>
          <w:spacing w:val="0"/>
          <w:w w:val="100"/>
          <w:position w:val="0"/>
          <w:sz w:val="22"/>
          <w:szCs w:val="22"/>
          <w:shd w:val="clear" w:color="auto" w:fill="auto"/>
          <w:lang w:val="ru-RU" w:eastAsia="ru-RU" w:bidi="ru-RU"/>
        </w:rPr>
        <w:t xml:space="preserve">для </w:t>
      </w:r>
      <w:r>
        <w:rPr>
          <w:b/>
          <w:bCs/>
          <w:color w:val="858485"/>
          <w:spacing w:val="0"/>
          <w:w w:val="100"/>
          <w:position w:val="0"/>
          <w:shd w:val="clear" w:color="auto" w:fill="auto"/>
          <w:lang w:val="ru-RU" w:eastAsia="ru-RU" w:bidi="ru-RU"/>
        </w:rPr>
        <w:t>подписи:</w:t>
      </w:r>
    </w:p>
    <w:p>
      <w:pPr>
        <w:pStyle w:val="Style28"/>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Акопян Т.П.</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С.А. Евстратова</w:t>
      </w:r>
    </w:p>
    <w:p>
      <w:pPr>
        <w:pStyle w:val="Style2"/>
        <w:keepNext w:val="0"/>
        <w:keepLines w:val="0"/>
        <w:widowControl w:val="0"/>
        <w:shd w:val="clear" w:color="auto" w:fill="auto"/>
        <w:bidi w:val="0"/>
        <w:spacing w:before="0" w:after="120" w:line="240" w:lineRule="auto"/>
        <w:ind w:left="3360" w:right="0" w:firstLine="0"/>
        <w:jc w:val="left"/>
      </w:pPr>
      <w:r>
        <w:rPr>
          <w:b/>
          <w:bCs/>
          <w:color w:val="858485"/>
          <w:spacing w:val="0"/>
          <w:w w:val="100"/>
          <w:position w:val="0"/>
          <w:shd w:val="clear" w:color="auto" w:fill="auto"/>
          <w:lang w:val="ru-RU" w:eastAsia="ru-RU" w:bidi="ru-RU"/>
        </w:rPr>
        <w:t xml:space="preserve">Моего </w:t>
      </w:r>
      <w:r>
        <w:rPr>
          <w:rFonts w:ascii="Arial" w:eastAsia="Arial" w:hAnsi="Arial" w:cs="Arial"/>
          <w:color w:val="858485"/>
          <w:spacing w:val="0"/>
          <w:w w:val="100"/>
          <w:position w:val="0"/>
          <w:sz w:val="22"/>
          <w:szCs w:val="22"/>
          <w:shd w:val="clear" w:color="auto" w:fill="auto"/>
          <w:lang w:val="ru-RU" w:eastAsia="ru-RU" w:bidi="ru-RU"/>
        </w:rPr>
        <w:t xml:space="preserve">для </w:t>
      </w:r>
      <w:r>
        <w:rPr>
          <w:b/>
          <w:bCs/>
          <w:color w:val="858485"/>
          <w:spacing w:val="0"/>
          <w:w w:val="100"/>
          <w:position w:val="0"/>
          <w:shd w:val="clear" w:color="auto" w:fill="auto"/>
          <w:lang w:val="ru-RU" w:eastAsia="ru-RU" w:bidi="ru-RU"/>
        </w:rPr>
        <w:t>подписи:</w:t>
      </w:r>
    </w:p>
    <w:p>
      <w:pPr>
        <w:pStyle w:val="Style28"/>
        <w:keepNext w:val="0"/>
        <w:keepLines w:val="0"/>
        <w:widowControl w:val="0"/>
        <w:shd w:val="clear" w:color="auto" w:fill="auto"/>
        <w:bidi w:val="0"/>
        <w:spacing w:before="0" w:after="800" w:line="240" w:lineRule="auto"/>
        <w:ind w:right="0" w:firstLine="0"/>
        <w:jc w:val="left"/>
      </w:pPr>
      <w:r>
        <w:rPr>
          <w:spacing w:val="0"/>
          <w:w w:val="100"/>
          <w:position w:val="0"/>
          <w:shd w:val="clear" w:color="auto" w:fill="auto"/>
          <w:lang w:val="ru-RU" w:eastAsia="ru-RU" w:bidi="ru-RU"/>
        </w:rPr>
        <w:t>Евсграюна С. А.</w:t>
      </w:r>
    </w:p>
    <w:p>
      <w:pPr>
        <w:pStyle w:val="Style2"/>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В.О. Беркутов</w:t>
      </w:r>
    </w:p>
    <w:p>
      <w:pPr>
        <w:pStyle w:val="Style30"/>
        <w:keepNext w:val="0"/>
        <w:keepLines w:val="0"/>
        <w:widowControl w:val="0"/>
        <w:shd w:val="clear" w:color="auto" w:fill="auto"/>
        <w:bidi w:val="0"/>
        <w:spacing w:before="0"/>
        <w:ind w:right="0" w:firstLine="0"/>
        <w:jc w:val="left"/>
        <w:rPr>
          <w:sz w:val="26"/>
          <w:szCs w:val="26"/>
        </w:rPr>
      </w:pPr>
      <w:r>
        <w:rPr>
          <w:spacing w:val="0"/>
          <w:w w:val="100"/>
          <w:position w:val="0"/>
          <w:sz w:val="22"/>
          <w:szCs w:val="22"/>
          <w:shd w:val="clear" w:color="auto" w:fill="auto"/>
          <w:lang w:val="ru-RU" w:eastAsia="ru-RU" w:bidi="ru-RU"/>
        </w:rPr>
        <w:t xml:space="preserve">Моего для </w:t>
      </w:r>
      <w:r>
        <w:rPr>
          <w:rFonts w:ascii="Times New Roman" w:eastAsia="Times New Roman" w:hAnsi="Times New Roman" w:cs="Times New Roman"/>
          <w:b/>
          <w:bCs/>
          <w:spacing w:val="0"/>
          <w:w w:val="100"/>
          <w:position w:val="0"/>
          <w:sz w:val="26"/>
          <w:szCs w:val="26"/>
          <w:shd w:val="clear" w:color="auto" w:fill="auto"/>
          <w:lang w:val="ru-RU" w:eastAsia="ru-RU" w:bidi="ru-RU"/>
        </w:rPr>
        <w:t>подписи:</w:t>
      </w:r>
    </w:p>
    <w:p>
      <w:pPr>
        <w:pStyle w:val="Style28"/>
        <w:keepNext w:val="0"/>
        <w:keepLines w:val="0"/>
        <w:widowControl w:val="0"/>
        <w:shd w:val="clear" w:color="auto" w:fill="auto"/>
        <w:bidi w:val="0"/>
        <w:spacing w:before="0" w:after="440" w:line="240" w:lineRule="auto"/>
        <w:ind w:right="0" w:firstLine="0"/>
        <w:jc w:val="left"/>
      </w:pPr>
      <w:r>
        <w:rPr>
          <w:spacing w:val="0"/>
          <w:w w:val="100"/>
          <w:position w:val="0"/>
          <w:shd w:val="clear" w:color="auto" w:fill="auto"/>
          <w:lang w:val="ru-RU" w:eastAsia="ru-RU" w:bidi="ru-RU"/>
        </w:rPr>
        <w:t>Еоркутов В. О.</w:t>
      </w:r>
    </w:p>
    <w:p>
      <w:pPr>
        <w:pStyle w:val="Style8"/>
        <w:keepNext w:val="0"/>
        <w:keepLines w:val="0"/>
        <w:widowControl w:val="0"/>
        <w:shd w:val="clear" w:color="auto" w:fill="auto"/>
        <w:bidi w:val="0"/>
        <w:spacing w:before="0" w:after="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Исп.Беркутов В.О.</w:t>
      </w:r>
    </w:p>
    <w:p>
      <w:pPr>
        <w:pStyle w:val="Style8"/>
        <w:keepNext w:val="0"/>
        <w:keepLines w:val="0"/>
        <w:widowControl w:val="0"/>
        <w:shd w:val="clear" w:color="auto" w:fill="auto"/>
        <w:bidi w:val="0"/>
        <w:spacing w:before="0" w:after="28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тел.(863) 240-86-88, вн.061-132</w:t>
      </w:r>
    </w:p>
    <w:sectPr>
      <w:footnotePr>
        <w:pos w:val="pageBottom"/>
        <w:numFmt w:val="decimal"/>
        <w:numRestart w:val="continuous"/>
      </w:footnotePr>
      <w:type w:val="continuous"/>
      <w:pgSz w:w="11900" w:h="16840"/>
      <w:pgMar w:top="1068" w:right="524" w:bottom="1192" w:left="108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722630</wp:posOffset>
              </wp:positionH>
              <wp:positionV relativeFrom="page">
                <wp:posOffset>9999980</wp:posOffset>
              </wp:positionV>
              <wp:extent cx="646430" cy="100330"/>
              <wp:wrapNone/>
              <wp:docPr id="3" name="Shape 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2023-8328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787.39999999999998pt;width:50.899999999999999pt;height:7.9000000000000004pt;z-index:-188744062;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2023-8328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9857740</wp:posOffset>
              </wp:positionV>
              <wp:extent cx="646430" cy="100330"/>
              <wp:wrapNone/>
              <wp:docPr id="5" name="Shape 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2023-8328</w:t>
                          </w:r>
                        </w:p>
                      </w:txbxContent>
                    </wps:txbx>
                    <wps:bodyPr wrap="none" lIns="0" tIns="0" rIns="0" bIns="0">
                      <a:spAutoFit/>
                    </wps:bodyPr>
                  </wps:wsp>
                </a:graphicData>
              </a:graphic>
            </wp:anchor>
          </w:drawing>
        </mc:Choice>
        <mc:Fallback>
          <w:pict>
            <v:shape id="_x0000_s1031" type="#_x0000_t202" style="position:absolute;margin-left:57.pt;margin-top:776.20000000000005pt;width:50.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2023-8328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8"/>
      <w:szCs w:val="38"/>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Основной текст (4)_"/>
    <w:basedOn w:val="DefaultParagraphFont"/>
    <w:link w:val="Style28"/>
    <w:rPr>
      <w:rFonts w:ascii="Arial" w:eastAsia="Arial" w:hAnsi="Arial" w:cs="Arial"/>
      <w:b/>
      <w:bCs/>
      <w:i w:val="0"/>
      <w:iCs w:val="0"/>
      <w:smallCaps w:val="0"/>
      <w:strike w:val="0"/>
      <w:color w:val="858485"/>
      <w:sz w:val="26"/>
      <w:szCs w:val="26"/>
      <w:u w:val="none"/>
    </w:rPr>
  </w:style>
  <w:style w:type="character" w:customStyle="1" w:styleId="CharStyle31">
    <w:name w:val="Основной текст (5)_"/>
    <w:basedOn w:val="DefaultParagraphFont"/>
    <w:link w:val="Style30"/>
    <w:rPr>
      <w:rFonts w:ascii="Arial" w:eastAsia="Arial" w:hAnsi="Arial" w:cs="Arial"/>
      <w:b w:val="0"/>
      <w:bCs w:val="0"/>
      <w:i w:val="0"/>
      <w:iCs w:val="0"/>
      <w:smallCaps w:val="0"/>
      <w:strike w:val="0"/>
      <w:color w:val="858485"/>
      <w:sz w:val="22"/>
      <w:szCs w:val="22"/>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Основной текст (2)"/>
    <w:basedOn w:val="Normal"/>
    <w:link w:val="CharStyle6"/>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8">
    <w:name w:val="Основной текст (3)"/>
    <w:basedOn w:val="Normal"/>
    <w:link w:val="CharStyle9"/>
    <w:pPr>
      <w:widowControl w:val="0"/>
      <w:shd w:val="clear" w:color="auto" w:fill="auto"/>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Основной текст (4)"/>
    <w:basedOn w:val="Normal"/>
    <w:link w:val="CharStyle29"/>
    <w:pPr>
      <w:widowControl w:val="0"/>
      <w:shd w:val="clear" w:color="auto" w:fill="auto"/>
      <w:spacing w:after="500"/>
      <w:ind w:left="3360"/>
    </w:pPr>
    <w:rPr>
      <w:rFonts w:ascii="Arial" w:eastAsia="Arial" w:hAnsi="Arial" w:cs="Arial"/>
      <w:b/>
      <w:bCs/>
      <w:i w:val="0"/>
      <w:iCs w:val="0"/>
      <w:smallCaps w:val="0"/>
      <w:strike w:val="0"/>
      <w:color w:val="858485"/>
      <w:sz w:val="26"/>
      <w:szCs w:val="26"/>
      <w:u w:val="none"/>
    </w:rPr>
  </w:style>
  <w:style w:type="paragraph" w:customStyle="1" w:styleId="Style30">
    <w:name w:val="Основной текст (5)"/>
    <w:basedOn w:val="Normal"/>
    <w:link w:val="CharStyle31"/>
    <w:pPr>
      <w:widowControl w:val="0"/>
      <w:shd w:val="clear" w:color="auto" w:fill="auto"/>
      <w:spacing w:after="60" w:line="295" w:lineRule="auto"/>
      <w:ind w:left="3360"/>
    </w:pPr>
    <w:rPr>
      <w:rFonts w:ascii="Arial" w:eastAsia="Arial" w:hAnsi="Arial" w:cs="Arial"/>
      <w:b w:val="0"/>
      <w:bCs w:val="0"/>
      <w:i w:val="0"/>
      <w:iCs w:val="0"/>
      <w:smallCaps w:val="0"/>
      <w:strike w:val="0"/>
      <w:color w:val="858485"/>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