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4080" distL="1174750" distR="1120775" simplePos="0" relativeHeight="125829378" behindDoc="0" locked="0" layoutInCell="1" allowOverlap="1">
            <wp:simplePos x="0" y="0"/>
            <wp:positionH relativeFrom="page">
              <wp:posOffset>1781175</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720725</wp:posOffset>
                </wp:positionH>
                <wp:positionV relativeFrom="paragraph">
                  <wp:posOffset>622300</wp:posOffset>
                </wp:positionV>
                <wp:extent cx="2578735" cy="2160905"/>
                <wp:wrapSquare wrapText="right"/>
                <wp:docPr id="3" name="Shape 3"/>
                <a:graphic xmlns:a="http://schemas.openxmlformats.org/drawingml/2006/main">
                  <a:graphicData uri="http://schemas.microsoft.com/office/word/2010/wordprocessingShape">
                    <wps:wsp>
                      <wps:cNvSpPr txBox="1"/>
                      <wps:spPr>
                        <a:xfrm>
                          <a:ext cx="2578735" cy="2160905"/>
                        </a:xfrm>
                        <a:prstGeom prst="rect"/>
                        <a:noFill/>
                      </wps:spPr>
                      <wps:txbx>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2"/>
                              <w:keepNext w:val="0"/>
                              <w:keepLines w:val="0"/>
                              <w:widowControl w:val="0"/>
                              <w:shd w:val="clear" w:color="auto" w:fill="auto"/>
                              <w:tabs>
                                <w:tab w:leader="underscore" w:pos="1762" w:val="left"/>
                                <w:tab w:leader="underscore" w:pos="3926" w:val="left"/>
                              </w:tabs>
                              <w:bidi w:val="0"/>
                              <w:spacing w:before="0" w:line="240" w:lineRule="auto"/>
                              <w:ind w:left="0" w:right="0" w:firstLine="0"/>
                              <w:jc w:val="center"/>
                            </w:pPr>
                            <w:r>
                              <w:rPr>
                                <w:spacing w:val="0"/>
                                <w:w w:val="100"/>
                                <w:position w:val="0"/>
                                <w:shd w:val="clear" w:color="auto" w:fill="auto"/>
                                <w:lang w:val="ru-RU" w:eastAsia="ru-RU" w:bidi="ru-RU"/>
                              </w:rPr>
                              <w:tab/>
                              <w:t xml:space="preserve"> №</w:t>
                              <w:tab/>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75pt;margin-top:49.pt;width:203.05000000000001pt;height:170.15000000000001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2"/>
                        <w:keepNext w:val="0"/>
                        <w:keepLines w:val="0"/>
                        <w:widowControl w:val="0"/>
                        <w:shd w:val="clear" w:color="auto" w:fill="auto"/>
                        <w:tabs>
                          <w:tab w:leader="underscore" w:pos="1762" w:val="left"/>
                          <w:tab w:leader="underscore" w:pos="3926" w:val="left"/>
                        </w:tabs>
                        <w:bidi w:val="0"/>
                        <w:spacing w:before="0" w:line="240" w:lineRule="auto"/>
                        <w:ind w:left="0" w:right="0" w:firstLine="0"/>
                        <w:jc w:val="center"/>
                      </w:pPr>
                      <w:r>
                        <w:rPr>
                          <w:spacing w:val="0"/>
                          <w:w w:val="100"/>
                          <w:position w:val="0"/>
                          <w:shd w:val="clear" w:color="auto" w:fill="auto"/>
                          <w:lang w:val="ru-RU" w:eastAsia="ru-RU" w:bidi="ru-RU"/>
                        </w:rPr>
                        <w:tab/>
                        <w:t xml:space="preserve"> №</w:t>
                        <w:tab/>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 xml:space="preserve">На№  от</w:t>
                      </w:r>
                    </w:p>
                  </w:txbxContent>
                </v:textbox>
                <w10:wrap type="square" side="right" anchorx="page"/>
              </v:shape>
            </w:pict>
          </mc:Fallback>
        </mc:AlternateContent>
      </w:r>
    </w:p>
    <w:p>
      <w:pPr>
        <w:pStyle w:val="Style6"/>
        <w:keepNext w:val="0"/>
        <w:keepLines w:val="0"/>
        <w:widowControl w:val="0"/>
        <w:shd w:val="clear" w:color="auto" w:fill="auto"/>
        <w:bidi w:val="0"/>
        <w:spacing w:before="0" w:after="200" w:line="211" w:lineRule="auto"/>
        <w:ind w:left="1040" w:right="0" w:firstLine="0"/>
        <w:jc w:val="left"/>
      </w:pPr>
      <w:r>
        <w:rPr>
          <w:color w:val="000000"/>
          <w:spacing w:val="0"/>
          <w:w w:val="100"/>
          <w:position w:val="0"/>
          <w:shd w:val="clear" w:color="auto" w:fill="auto"/>
          <w:lang w:val="ru-RU" w:eastAsia="ru-RU" w:bidi="ru-RU"/>
        </w:rPr>
        <w:t>ООО «Монтажпроект»</w:t>
      </w:r>
    </w:p>
    <w:p>
      <w:pPr>
        <w:pStyle w:val="Style6"/>
        <w:keepNext w:val="0"/>
        <w:keepLines w:val="0"/>
        <w:widowControl w:val="0"/>
        <w:shd w:val="clear" w:color="auto" w:fill="auto"/>
        <w:bidi w:val="0"/>
        <w:spacing w:before="0" w:after="200" w:line="211" w:lineRule="auto"/>
        <w:ind w:left="1040" w:right="0" w:firstLine="0"/>
        <w:jc w:val="left"/>
      </w:pPr>
      <w:r>
        <w:rPr>
          <w:color w:val="000000"/>
          <w:spacing w:val="0"/>
          <w:w w:val="100"/>
          <w:position w:val="0"/>
          <w:shd w:val="clear" w:color="auto" w:fill="auto"/>
          <w:lang w:val="ru-RU" w:eastAsia="ru-RU" w:bidi="ru-RU"/>
        </w:rPr>
        <w:t>9671149555@та1.ги</w:t>
      </w:r>
    </w:p>
    <w:p>
      <w:pPr>
        <w:pStyle w:val="Style6"/>
        <w:keepNext w:val="0"/>
        <w:keepLines w:val="0"/>
        <w:widowControl w:val="0"/>
        <w:shd w:val="clear" w:color="auto" w:fill="auto"/>
        <w:bidi w:val="0"/>
        <w:spacing w:before="0" w:after="200" w:line="211" w:lineRule="auto"/>
        <w:ind w:left="1040" w:right="0" w:firstLine="0"/>
        <w:jc w:val="left"/>
      </w:pPr>
      <w:r>
        <w:rPr>
          <w:color w:val="000000"/>
          <w:spacing w:val="0"/>
          <w:w w:val="100"/>
          <w:position w:val="0"/>
          <w:shd w:val="clear" w:color="auto" w:fill="auto"/>
          <w:lang w:val="ru-RU" w:eastAsia="ru-RU" w:bidi="ru-RU"/>
        </w:rPr>
        <w:t>ГКУ г. Москвы «Дирекция Мосприроды»</w:t>
      </w:r>
    </w:p>
    <w:p>
      <w:pPr>
        <w:pStyle w:val="Style6"/>
        <w:keepNext w:val="0"/>
        <w:keepLines w:val="0"/>
        <w:widowControl w:val="0"/>
        <w:shd w:val="clear" w:color="auto" w:fill="auto"/>
        <w:bidi w:val="0"/>
        <w:spacing w:before="0" w:after="2380" w:line="211" w:lineRule="auto"/>
        <w:ind w:left="1040" w:right="0" w:firstLine="0"/>
        <w:jc w:val="left"/>
      </w:pPr>
      <w:r>
        <w:rPr>
          <w:color w:val="000000"/>
          <w:spacing w:val="0"/>
          <w:w w:val="100"/>
          <w:position w:val="0"/>
          <w:shd w:val="clear" w:color="auto" w:fill="auto"/>
          <w:lang w:val="ru-RU" w:eastAsia="ru-RU" w:bidi="ru-RU"/>
        </w:rPr>
        <w:t>ирг-хакирИ@есо.то8.ги</w:t>
      </w:r>
    </w:p>
    <w:p>
      <w:pPr>
        <w:pStyle w:val="Style8"/>
        <w:keepNext/>
        <w:keepLines/>
        <w:widowControl w:val="0"/>
        <w:shd w:val="clear" w:color="auto" w:fill="auto"/>
        <w:bidi w:val="0"/>
        <w:spacing w:before="0" w:after="0" w:line="240" w:lineRule="auto"/>
        <w:ind w:left="0" w:right="0" w:firstLine="0"/>
        <w:jc w:val="center"/>
      </w:pPr>
      <w:bookmarkStart w:id="0" w:name="bookmark0"/>
      <w:r>
        <w:rPr>
          <w:color w:val="000000"/>
          <w:spacing w:val="0"/>
          <w:w w:val="100"/>
          <w:position w:val="0"/>
          <w:shd w:val="clear" w:color="auto" w:fill="auto"/>
          <w:lang w:val="ru-RU" w:eastAsia="ru-RU" w:bidi="ru-RU"/>
        </w:rPr>
        <w:t>РЕШЕНИЕ</w:t>
      </w:r>
      <w:bookmarkEnd w:id="0"/>
    </w:p>
    <w:p>
      <w:pPr>
        <w:pStyle w:val="Style6"/>
        <w:keepNext w:val="0"/>
        <w:keepLines w:val="0"/>
        <w:widowControl w:val="0"/>
        <w:shd w:val="clear" w:color="auto" w:fill="auto"/>
        <w:tabs>
          <w:tab w:pos="8947"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№077/06/106-АК12/2023 о нарушении</w:t>
        <w:br/>
        <w:t>законодательства о контрактной системе</w:t>
        <w:br/>
        <w:t>04.05.2023</w:t>
        <w:tab/>
        <w:t>г. Москва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Е.А. Мироновой,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Членов Комиссии: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Кутейникова,</w:t>
      </w:r>
    </w:p>
    <w:p>
      <w:pPr>
        <w:pStyle w:val="Style6"/>
        <w:keepNext w:val="0"/>
        <w:keepLines w:val="0"/>
        <w:widowControl w:val="0"/>
        <w:shd w:val="clear" w:color="auto" w:fill="auto"/>
        <w:bidi w:val="0"/>
        <w:spacing w:before="0" w:after="0" w:line="240" w:lineRule="auto"/>
        <w:ind w:left="0" w:right="0" w:firstLine="820"/>
        <w:jc w:val="both"/>
      </w:pPr>
      <w:r>
        <w:rPr>
          <w:color w:val="000000"/>
          <w:spacing w:val="0"/>
          <w:w w:val="100"/>
          <w:position w:val="0"/>
          <w:shd w:val="clear" w:color="auto" w:fill="auto"/>
          <w:lang w:val="ru-RU" w:eastAsia="ru-RU" w:bidi="ru-RU"/>
        </w:rPr>
        <w:t>Специалиста 1 разряда отдела обжалования государственных закупок И.И. Фурсикова, 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2019-пСоУ, при участии представителей ГКУ г. Москвы «Дирекция Мосприроды»: Р.Х. Алимжанова (по доверенности №82 от 05.07.2021), А.В. Кожинского (по доверенности №28 от 11.01.2023),</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отсутствие представителей ООО «Монтажпроект», о времени и порядке заседания Комиссии Управления уведомленных надлежащим образом письмом Московского УФАС России,</w:t>
      </w:r>
    </w:p>
    <w:p>
      <w:pPr>
        <w:pStyle w:val="Style6"/>
        <w:keepNext w:val="0"/>
        <w:keepLines w:val="0"/>
        <w:widowControl w:val="0"/>
        <w:shd w:val="clear" w:color="auto" w:fill="auto"/>
        <w:bidi w:val="0"/>
        <w:spacing w:before="0" w:after="200" w:line="240" w:lineRule="auto"/>
        <w:ind w:left="0" w:right="0" w:firstLine="700"/>
        <w:jc w:val="both"/>
      </w:pPr>
      <w:r>
        <w:rPr>
          <w:color w:val="000000"/>
          <w:spacing w:val="0"/>
          <w:w w:val="100"/>
          <w:position w:val="0"/>
          <w:shd w:val="clear" w:color="auto" w:fill="auto"/>
          <w:lang w:val="ru-RU" w:eastAsia="ru-RU" w:bidi="ru-RU"/>
        </w:rPr>
        <w:t>рассмотрев жалобы ООО «Монтажпроект» (далее — Заявитель) на действия ГКУ г. Москвы «Дирекция Мосприроды» (далее — Заказчик) при проведении открытых конкурсов в электронной форме на право заключения государственного контракта на посадку деревьев на природных и озелененных территориях</w:t>
      </w:r>
    </w:p>
    <w:p>
      <w:pPr>
        <w:pStyle w:val="Style6"/>
        <w:keepNext w:val="0"/>
        <w:keepLines w:val="0"/>
        <w:widowControl w:val="0"/>
        <w:shd w:val="clear" w:color="auto" w:fill="auto"/>
        <w:tabs>
          <w:tab w:pos="3744" w:val="left"/>
          <w:tab w:pos="7488" w:val="left"/>
        </w:tabs>
        <w:bidi w:val="0"/>
        <w:spacing w:before="0" w:after="0" w:line="240" w:lineRule="auto"/>
        <w:ind w:left="0" w:right="0" w:firstLine="0"/>
        <w:jc w:val="both"/>
      </w:pPr>
      <w:r>
        <w:rPr>
          <w:color w:val="000000"/>
          <w:spacing w:val="0"/>
          <w:w w:val="100"/>
          <w:position w:val="0"/>
          <w:shd w:val="clear" w:color="auto" w:fill="auto"/>
          <w:lang w:val="ru-RU" w:eastAsia="ru-RU" w:bidi="ru-RU"/>
        </w:rPr>
        <w:t>Восточного административного округа города Москвы; посадку деревьев на объектах озеленения 3-й категории на территории Западного административного округа города Москвы; посадку деревьев на природных и озелененных территориях Северо-Восточного административного округа города Москвы; посадку деревьев на природных и озелененных территориях Юго-Восточного административного округа города Москвы; посадку деревьев на природных и озелененных территориях Северного административного округа города Москвы (Закупки №№ 0373200003123000102;</w:t>
        <w:tab/>
        <w:t>0373200003123000108;</w:t>
        <w:tab/>
        <w:t>0373200003123000111;</w:t>
      </w:r>
    </w:p>
    <w:p>
      <w:pPr>
        <w:pStyle w:val="Style6"/>
        <w:keepNext w:val="0"/>
        <w:keepLines w:val="0"/>
        <w:widowControl w:val="0"/>
        <w:shd w:val="clear" w:color="auto" w:fill="auto"/>
        <w:bidi w:val="0"/>
        <w:spacing w:before="0" w:after="280" w:line="240" w:lineRule="auto"/>
        <w:ind w:left="0" w:right="0" w:firstLine="0"/>
        <w:jc w:val="both"/>
      </w:pPr>
      <w:r>
        <w:rPr>
          <w:color w:val="000000"/>
          <w:spacing w:val="0"/>
          <w:w w:val="100"/>
          <w:position w:val="0"/>
          <w:shd w:val="clear" w:color="auto" w:fill="auto"/>
          <w:lang w:val="ru-RU" w:eastAsia="ru-RU" w:bidi="ru-RU"/>
        </w:rPr>
        <w:t>0373200003123000112; 0373200003123000113) (далее — конкурсы)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8"/>
        <w:keepNext/>
        <w:keepLines/>
        <w:widowControl w:val="0"/>
        <w:shd w:val="clear" w:color="auto" w:fill="auto"/>
        <w:bidi w:val="0"/>
        <w:spacing w:before="0" w:after="0" w:line="240" w:lineRule="auto"/>
        <w:ind w:left="0" w:right="0" w:firstLine="0"/>
        <w:jc w:val="center"/>
      </w:pPr>
      <w:bookmarkStart w:id="2" w:name="bookmark2"/>
      <w:r>
        <w:rPr>
          <w:color w:val="000000"/>
          <w:spacing w:val="0"/>
          <w:w w:val="100"/>
          <w:position w:val="0"/>
          <w:shd w:val="clear" w:color="auto" w:fill="auto"/>
          <w:lang w:val="ru-RU" w:eastAsia="ru-RU" w:bidi="ru-RU"/>
        </w:rPr>
        <w:t>УСТАНОВИЛА:</w:t>
      </w:r>
      <w:bookmarkEnd w:id="2"/>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конкурса.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Заказчиком представлены документы и сведения, запрашиваемые письмом Московского УФАС России.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Комиссия Управления установила следующее.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1. В составе жалоб Заявитель указывает на установление Заказчиком неправомерных порядков оценки заявок участников закупки по детализирующим показателям «общая цена исполненных участником закупки договоров», «общее количество исполненных участником закупки договоров», «наибольшая цена одного из исполненных участником закупки договоров» показателя «Наличие у участников закупки опыта оказания услуги, связанного с предметом контракта» нестоимостного критерия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Ч.1 ст.32 Закона о контрактной системе установлено, что для оценки заявок участников закупки заказчик использует следующие критерии:</w:t>
      </w:r>
    </w:p>
    <w:p>
      <w:pPr>
        <w:pStyle w:val="Style6"/>
        <w:keepNext w:val="0"/>
        <w:keepLines w:val="0"/>
        <w:widowControl w:val="0"/>
        <w:numPr>
          <w:ilvl w:val="0"/>
          <w:numId w:val="1"/>
        </w:numPr>
        <w:shd w:val="clear" w:color="auto" w:fill="auto"/>
        <w:tabs>
          <w:tab w:pos="106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цена контракта, сумма цен единиц товара, работы, услуги;</w:t>
      </w:r>
    </w:p>
    <w:p>
      <w:pPr>
        <w:pStyle w:val="Style6"/>
        <w:keepNext w:val="0"/>
        <w:keepLines w:val="0"/>
        <w:widowControl w:val="0"/>
        <w:numPr>
          <w:ilvl w:val="0"/>
          <w:numId w:val="1"/>
        </w:numPr>
        <w:shd w:val="clear" w:color="auto" w:fill="auto"/>
        <w:tabs>
          <w:tab w:pos="107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расходы на эксплуатацию и ремонт товаров, использование результатов работ;</w:t>
      </w:r>
    </w:p>
    <w:p>
      <w:pPr>
        <w:pStyle w:val="Style6"/>
        <w:keepNext w:val="0"/>
        <w:keepLines w:val="0"/>
        <w:widowControl w:val="0"/>
        <w:numPr>
          <w:ilvl w:val="0"/>
          <w:numId w:val="1"/>
        </w:numPr>
        <w:shd w:val="clear" w:color="auto" w:fill="auto"/>
        <w:tabs>
          <w:tab w:pos="106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качественные, функциональные и экологические характеристики объекта закупки;</w:t>
      </w:r>
    </w:p>
    <w:p>
      <w:pPr>
        <w:pStyle w:val="Style6"/>
        <w:keepNext w:val="0"/>
        <w:keepLines w:val="0"/>
        <w:widowControl w:val="0"/>
        <w:numPr>
          <w:ilvl w:val="0"/>
          <w:numId w:val="1"/>
        </w:numPr>
        <w:shd w:val="clear" w:color="auto" w:fill="auto"/>
        <w:tabs>
          <w:tab w:pos="107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 алификации.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п.11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ч.8 ст.32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п.1 и 2 ч.1 ст.32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Постановление №2604) установлен порядок оценки заявок участников закупки.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Абз.1 п.1 Постановления Постановление №2604 утверждено Положение об оценке заявок на участие в закупке товаров, работ, услуг для обеспечения государственных и муниципальных нужд (далее - Положение).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абз.1 п.2 Положения «оценка заявок»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pPr>
        <w:pStyle w:val="Style6"/>
        <w:keepNext w:val="0"/>
        <w:keepLines w:val="0"/>
        <w:widowControl w:val="0"/>
        <w:numPr>
          <w:ilvl w:val="0"/>
          <w:numId w:val="3"/>
        </w:numPr>
        <w:shd w:val="clear" w:color="auto" w:fill="auto"/>
        <w:tabs>
          <w:tab w:pos="107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наличие у участников закупки финансовых ресурсов;</w:t>
      </w:r>
    </w:p>
    <w:p>
      <w:pPr>
        <w:pStyle w:val="Style6"/>
        <w:keepNext w:val="0"/>
        <w:keepLines w:val="0"/>
        <w:widowControl w:val="0"/>
        <w:numPr>
          <w:ilvl w:val="0"/>
          <w:numId w:val="3"/>
        </w:numPr>
        <w:shd w:val="clear" w:color="auto" w:fill="auto"/>
        <w:tabs>
          <w:tab w:pos="106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наличие у участников закупки на праве собственности или ином законном основании оборудования и других материальных ресурсов;</w:t>
      </w:r>
    </w:p>
    <w:p>
      <w:pPr>
        <w:pStyle w:val="Style6"/>
        <w:keepNext w:val="0"/>
        <w:keepLines w:val="0"/>
        <w:widowControl w:val="0"/>
        <w:numPr>
          <w:ilvl w:val="0"/>
          <w:numId w:val="3"/>
        </w:numPr>
        <w:shd w:val="clear" w:color="auto" w:fill="auto"/>
        <w:tabs>
          <w:tab w:pos="105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наличие у участников закупки опыта поставки товара, выполнения работы, оказания услуги, связанного с предметом контракта;</w:t>
      </w:r>
    </w:p>
    <w:p>
      <w:pPr>
        <w:pStyle w:val="Style6"/>
        <w:keepNext w:val="0"/>
        <w:keepLines w:val="0"/>
        <w:widowControl w:val="0"/>
        <w:numPr>
          <w:ilvl w:val="0"/>
          <w:numId w:val="3"/>
        </w:numPr>
        <w:shd w:val="clear" w:color="auto" w:fill="auto"/>
        <w:tabs>
          <w:tab w:pos="107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наличие у участников закупки деловой репутации;</w:t>
      </w:r>
    </w:p>
    <w:p>
      <w:pPr>
        <w:pStyle w:val="Style6"/>
        <w:keepNext w:val="0"/>
        <w:keepLines w:val="0"/>
        <w:widowControl w:val="0"/>
        <w:numPr>
          <w:ilvl w:val="0"/>
          <w:numId w:val="3"/>
        </w:numPr>
        <w:shd w:val="clear" w:color="auto" w:fill="auto"/>
        <w:tabs>
          <w:tab w:pos="106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наличие у участников закупки специалистов и иных работников определенного уровня квалификации.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п.25 Положения для оценки заявок по показателям оценки, предусмотренным п.24 Положения, применяются детализирующие показатели.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Согласно пп.«в» п.28 Положения в случае применения показателя оценки, </w:t>
      </w:r>
      <w:r>
        <w:rPr>
          <w:color w:val="000000"/>
          <w:spacing w:val="0"/>
          <w:w w:val="100"/>
          <w:position w:val="0"/>
          <w:shd w:val="clear" w:color="auto" w:fill="auto"/>
          <w:lang w:val="ru-RU" w:eastAsia="ru-RU" w:bidi="ru-RU"/>
        </w:rPr>
        <w:t>предусмотренного пп.«в» п.24 Положения порядком оценки:</w:t>
      </w:r>
    </w:p>
    <w:p>
      <w:pPr>
        <w:pStyle w:val="Style6"/>
        <w:keepNext w:val="0"/>
        <w:keepLines w:val="0"/>
        <w:widowControl w:val="0"/>
        <w:numPr>
          <w:ilvl w:val="0"/>
          <w:numId w:val="5"/>
        </w:numPr>
        <w:shd w:val="clear" w:color="auto" w:fill="auto"/>
        <w:tabs>
          <w:tab w:pos="141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pPr>
        <w:pStyle w:val="Style6"/>
        <w:keepNext w:val="0"/>
        <w:keepLines w:val="0"/>
        <w:widowControl w:val="0"/>
        <w:numPr>
          <w:ilvl w:val="0"/>
          <w:numId w:val="5"/>
        </w:numPr>
        <w:shd w:val="clear" w:color="auto" w:fill="auto"/>
        <w:tabs>
          <w:tab w:pos="141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pPr>
        <w:pStyle w:val="Style6"/>
        <w:keepNext w:val="0"/>
        <w:keepLines w:val="0"/>
        <w:widowControl w:val="0"/>
        <w:numPr>
          <w:ilvl w:val="0"/>
          <w:numId w:val="5"/>
        </w:numPr>
        <w:shd w:val="clear" w:color="auto" w:fill="auto"/>
        <w:tabs>
          <w:tab w:pos="141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Управления определено, что согласно извещениям о проведении открытых конкурсов в электронной форме Заказчиком установлен, в том числе, следующий порядок оценки заявок по детализирующим показателям «общая цена исполненных участником закупки договоров», «общее количество исполненных участником закупки договоров», «наибольшая цена одного из исполненных участником закупки договоров»:</w:t>
      </w:r>
    </w:p>
    <w:p>
      <w:pPr>
        <w:pStyle w:val="Style6"/>
        <w:keepNext w:val="0"/>
        <w:keepLines w:val="0"/>
        <w:widowControl w:val="0"/>
        <w:numPr>
          <w:ilvl w:val="0"/>
          <w:numId w:val="5"/>
        </w:numPr>
        <w:shd w:val="clear" w:color="auto" w:fill="auto"/>
        <w:tabs>
          <w:tab w:pos="1416" w:val="left"/>
        </w:tabs>
        <w:bidi w:val="0"/>
        <w:spacing w:before="0" w:after="0" w:line="240" w:lineRule="auto"/>
        <w:ind w:left="0" w:right="0" w:firstLine="720"/>
        <w:jc w:val="both"/>
      </w:pPr>
      <w:r>
        <w:rPr>
          <w:i/>
          <w:iCs/>
          <w:color w:val="000000"/>
          <w:spacing w:val="0"/>
          <w:w w:val="100"/>
          <w:position w:val="0"/>
          <w:shd w:val="clear" w:color="auto" w:fill="auto"/>
          <w:lang w:val="ru-RU" w:eastAsia="ru-RU" w:bidi="ru-RU"/>
        </w:rPr>
        <w:t>Под работами, связанными с предметом контракта, заключаемого по результатам проведения закупки, понимаются работы по посадке деревьев и кустарников, озеленению территорий</w:t>
      </w:r>
      <w:r>
        <w:rPr>
          <w:color w:val="000000"/>
          <w:spacing w:val="0"/>
          <w:w w:val="100"/>
          <w:position w:val="0"/>
          <w:shd w:val="clear" w:color="auto" w:fill="auto"/>
          <w:lang w:val="ru-RU" w:eastAsia="ru-RU" w:bidi="ru-RU"/>
        </w:rPr>
        <w:t>».</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составе жалоб Заявитель указывает, что Заказчиком предусмотрен неправомерный сопоставимый характер оцениваемых в рамках показателей договоров/контрактов, противоречащий п.9 Приложения к Постановлению Правительства РФ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Представители Заказчика пояснили, что предусмотренные извещениями об осуществлении закупочный процедур работы связаны исключительно с посадкой деревьев и кустарников, уходом за деревьями и кустарниками и не представляют собой комплекс мероприятий по благоустройству территории в понимании положений Градостроительного кодекса Российской Федерации.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Таким образом, установление Заказчиком в порядке оценки конкурсных заявок условия о принятии к учету контрактов в соответствии с п.9 Приложения к Постановлению Правительства РФ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w:t>
      </w:r>
      <w:r>
        <w:rPr>
          <w:color w:val="000000"/>
          <w:spacing w:val="0"/>
          <w:w w:val="100"/>
          <w:position w:val="0"/>
          <w:shd w:val="clear" w:color="auto" w:fill="auto"/>
          <w:lang w:val="ru-RU" w:eastAsia="ru-RU" w:bidi="ru-RU"/>
        </w:rPr>
        <w:t>отдельных положений актов Правительства Российской Федерации» не отражают специфику объекта закупки.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вместе с тем в заседании Комиссии Управления Заявитель участия не принимал, кроме того в составе жалобы Заявителем не представлено документов и сведений, свидетельствующих о нарушении Заказчиком норм действующего законодательства о контрактной системе при формировании вышеуказанных порядков оценки, в частности не представлена информация, подтверждающая, что права и интересы Заявителя нарушены действиями Заказчика, ввиду чего у Комиссии Управления отсутствуют правовые основания для признания Заказчика нарушившим требования Положения,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что доводы жалобы Заявителя не нашли своего подтверждения и являются необоснованными.</w:t>
      </w:r>
    </w:p>
    <w:p>
      <w:pPr>
        <w:pStyle w:val="Style6"/>
        <w:keepNext w:val="0"/>
        <w:keepLines w:val="0"/>
        <w:widowControl w:val="0"/>
        <w:numPr>
          <w:ilvl w:val="0"/>
          <w:numId w:val="7"/>
        </w:numPr>
        <w:shd w:val="clear" w:color="auto" w:fill="auto"/>
        <w:tabs>
          <w:tab w:pos="109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доводам жалоб по показателю «Наличие у участников закупки специалистов и иных работников определенного уровня квалификации» Заказчик не указывает специальности принимаемых к оценке специалистов.</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п.25 Положения для оценки заявок по показателям оценки, предусмотренным пунктом 24 Положения, применяются детализирующие показатели.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п.30 Положения в случае применения показателя оценки, указанного в подпункте «д» пункта 24 Положения, документом, предусмотренным приложением № 1 к Положению, устанавливаются:</w:t>
      </w:r>
    </w:p>
    <w:p>
      <w:pPr>
        <w:pStyle w:val="Style6"/>
        <w:keepNext w:val="0"/>
        <w:keepLines w:val="0"/>
        <w:widowControl w:val="0"/>
        <w:numPr>
          <w:ilvl w:val="0"/>
          <w:numId w:val="9"/>
        </w:numPr>
        <w:shd w:val="clear" w:color="auto" w:fill="auto"/>
        <w:tabs>
          <w:tab w:pos="109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перечень специалистов и иных работников, их квалификация, оцениваемые по показателю, предусмотренному подпунктом «д» пункта 24 Положения, и необходимые для поставки товара, выполнения работ, оказания услуг, являющихся объектом закупки;</w:t>
      </w:r>
    </w:p>
    <w:p>
      <w:pPr>
        <w:pStyle w:val="Style6"/>
        <w:keepNext w:val="0"/>
        <w:keepLines w:val="0"/>
        <w:widowControl w:val="0"/>
        <w:numPr>
          <w:ilvl w:val="0"/>
          <w:numId w:val="9"/>
        </w:numPr>
        <w:shd w:val="clear" w:color="auto" w:fill="auto"/>
        <w:tabs>
          <w:tab w:pos="109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перечень следующих документов, подтверждающих наличие специалистов и иных работников, их квалификацию, предусмотренные перечнем, установленным в соответствии с подпунктом «а» настоящего пункта: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трудовая книжка или сведения о трудовой деятельности, предусмотренные статьей 66.1 Трудового кодекса Российской Федерации;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документы, подтверждающие предусмотренную в соответствии с профессиональными стандартами квалификацию специалистов и иных работников.</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Вместе с тем Комиссией Управления установлено, что Заказчиком в порядке оценки не устанавливался показатель: «Наличие у участников закупки специалистов и иных работников определенного уровня квалификации».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В силу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вместе с тем в заседании Комиссии Управления Заявитель участия не принимал, кроме того в </w:t>
      </w:r>
      <w:r>
        <w:rPr>
          <w:color w:val="000000"/>
          <w:spacing w:val="0"/>
          <w:w w:val="100"/>
          <w:position w:val="0"/>
          <w:shd w:val="clear" w:color="auto" w:fill="auto"/>
          <w:lang w:val="ru-RU" w:eastAsia="ru-RU" w:bidi="ru-RU"/>
        </w:rPr>
        <w:t>составе жалобы Заявителем не представлено документов и сведений, свидетельствующих о нарушении Заказчиком норм действующего законодательства о контрактной системе при формировании вышеуказанных порядков оценки, в частности не представлена информация, подтверждающая, что права и интересы Заявителя нарушены действиями Заказчика, ввиду чего у Комиссии Управления отсутствуют правовые основания для признания Заказчика нарушившим требования Положения,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что доводы жалобы Заявителя не нашли своего подтверждения и являются необоснованными.</w:t>
      </w:r>
    </w:p>
    <w:p>
      <w:pPr>
        <w:pStyle w:val="Style6"/>
        <w:keepNext w:val="0"/>
        <w:keepLines w:val="0"/>
        <w:widowControl w:val="0"/>
        <w:shd w:val="clear" w:color="auto" w:fill="auto"/>
        <w:bidi w:val="0"/>
        <w:spacing w:before="0" w:after="280" w:line="240" w:lineRule="auto"/>
        <w:ind w:left="0" w:right="0" w:firstLine="70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6"/>
        <w:keepNext w:val="0"/>
        <w:keepLines w:val="0"/>
        <w:widowControl w:val="0"/>
        <w:numPr>
          <w:ilvl w:val="0"/>
          <w:numId w:val="11"/>
        </w:numPr>
        <w:shd w:val="clear" w:color="auto" w:fill="auto"/>
        <w:tabs>
          <w:tab w:pos="97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жалобы ООО «Монтажпроект» на действия ГКУ г. Москвы «Дирекция Мосприроды» необоснованными.</w:t>
      </w:r>
    </w:p>
    <w:p>
      <w:pPr>
        <w:pStyle w:val="Style6"/>
        <w:keepNext w:val="0"/>
        <w:keepLines w:val="0"/>
        <w:widowControl w:val="0"/>
        <w:numPr>
          <w:ilvl w:val="0"/>
          <w:numId w:val="11"/>
        </w:numPr>
        <w:shd w:val="clear" w:color="auto" w:fill="auto"/>
        <w:tabs>
          <w:tab w:pos="997" w:val="left"/>
        </w:tabs>
        <w:bidi w:val="0"/>
        <w:spacing w:before="0" w:after="200" w:line="240" w:lineRule="auto"/>
        <w:ind w:left="0" w:right="0" w:firstLine="700"/>
        <w:jc w:val="both"/>
      </w:pPr>
      <w:r>
        <w:rPr>
          <w:color w:val="000000"/>
          <w:spacing w:val="0"/>
          <w:w w:val="100"/>
          <w:position w:val="0"/>
          <w:shd w:val="clear" w:color="auto" w:fill="auto"/>
          <w:lang w:val="ru-RU" w:eastAsia="ru-RU" w:bidi="ru-RU"/>
        </w:rPr>
        <w:t>.Снять ограничения на определения поставщика (подрядчика, исполнителя), наложенные письмом Московского УФАС России.</w:t>
      </w:r>
    </w:p>
    <w:p>
      <w:pPr>
        <w:pStyle w:val="Style6"/>
        <w:keepNext w:val="0"/>
        <w:keepLines w:val="0"/>
        <w:widowControl w:val="0"/>
        <w:shd w:val="clear" w:color="auto" w:fill="auto"/>
        <w:bidi w:val="0"/>
        <w:spacing w:before="0" w:after="280" w:line="240" w:lineRule="auto"/>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6"/>
        <w:keepNext w:val="0"/>
        <w:keepLines w:val="0"/>
        <w:widowControl w:val="0"/>
        <w:shd w:val="clear" w:color="auto" w:fill="auto"/>
        <w:tabs>
          <w:tab w:pos="8458" w:val="left"/>
        </w:tabs>
        <w:bidi w:val="0"/>
        <w:spacing w:before="0" w:after="280" w:line="240" w:lineRule="auto"/>
        <w:ind w:left="0" w:right="0" w:firstLine="0"/>
        <w:jc w:val="both"/>
      </w:pPr>
      <w:r>
        <w:rPr>
          <w:color w:val="000000"/>
          <w:spacing w:val="0"/>
          <w:w w:val="100"/>
          <w:position w:val="0"/>
          <w:shd w:val="clear" w:color="auto" w:fill="auto"/>
          <w:lang w:val="ru-RU" w:eastAsia="ru-RU" w:bidi="ru-RU"/>
        </w:rPr>
        <w:t>Председательствующий</w:t>
        <w:tab/>
        <w:t>Е.А.Миронова</w:t>
      </w:r>
    </w:p>
    <w:p>
      <w:pPr>
        <w:pStyle w:val="Style6"/>
        <w:keepNext w:val="0"/>
        <w:keepLines w:val="0"/>
        <w:widowControl w:val="0"/>
        <w:shd w:val="clear" w:color="auto" w:fill="auto"/>
        <w:tabs>
          <w:tab w:pos="8122" w:val="left"/>
        </w:tabs>
        <w:bidi w:val="0"/>
        <w:spacing w:before="0" w:after="280" w:line="240" w:lineRule="auto"/>
        <w:ind w:left="0" w:right="0" w:firstLine="0"/>
        <w:jc w:val="both"/>
      </w:pPr>
      <w:r>
        <w:rPr>
          <w:color w:val="000000"/>
          <w:spacing w:val="0"/>
          <w:w w:val="100"/>
          <w:position w:val="0"/>
          <w:shd w:val="clear" w:color="auto" w:fill="auto"/>
          <w:lang w:val="ru-RU" w:eastAsia="ru-RU" w:bidi="ru-RU"/>
        </w:rPr>
        <w:t>Члены Комиссии</w:t>
        <w:tab/>
        <w:t>А.А. Кутейников</w:t>
      </w:r>
    </w:p>
    <w:p>
      <w:pPr>
        <w:pStyle w:val="Style6"/>
        <w:keepNext w:val="0"/>
        <w:keepLines w:val="0"/>
        <w:widowControl w:val="0"/>
        <w:shd w:val="clear" w:color="auto" w:fill="auto"/>
        <w:bidi w:val="0"/>
        <w:spacing w:before="0" w:after="2280" w:line="240" w:lineRule="auto"/>
        <w:ind w:left="0" w:right="0" w:firstLine="0"/>
        <w:jc w:val="right"/>
      </w:pPr>
      <w:r>
        <w:rPr>
          <w:color w:val="000000"/>
          <w:spacing w:val="0"/>
          <w:w w:val="100"/>
          <w:position w:val="0"/>
          <w:shd w:val="clear" w:color="auto" w:fill="auto"/>
          <w:lang w:val="ru-RU" w:eastAsia="ru-RU" w:bidi="ru-RU"/>
        </w:rPr>
        <w:t>И.И.Фурсиков</w:t>
      </w:r>
    </w:p>
    <w:p>
      <w:pPr>
        <w:pStyle w:val="Style15"/>
        <w:keepNext w:val="0"/>
        <w:keepLines w:val="0"/>
        <w:widowControl w:val="0"/>
        <w:shd w:val="clear" w:color="auto" w:fill="auto"/>
        <w:bidi w:val="0"/>
        <w:spacing w:before="0" w:line="240" w:lineRule="auto"/>
        <w:ind w:left="0" w:right="0" w:firstLine="0"/>
        <w:jc w:val="both"/>
      </w:pPr>
      <w:r>
        <w:rPr>
          <w:color w:val="000000"/>
          <w:spacing w:val="0"/>
          <w:w w:val="100"/>
          <w:position w:val="0"/>
          <w:shd w:val="clear" w:color="auto" w:fill="auto"/>
          <w:lang w:val="ru-RU" w:eastAsia="ru-RU" w:bidi="ru-RU"/>
        </w:rPr>
        <w:t>Исп.Кутейников А.А. тел.8(495)784-75-05</w:t>
      </w:r>
    </w:p>
    <w:sectPr>
      <w:headerReference w:type="default" r:id="rId7"/>
      <w:headerReference w:type="first" r:id="rId8"/>
      <w:footnotePr>
        <w:pos w:val="pageBottom"/>
        <w:numFmt w:val="decimal"/>
        <w:numRestart w:val="continuous"/>
      </w:footnotePr>
      <w:pgSz w:w="11900" w:h="16840"/>
      <w:pgMar w:top="1124" w:right="538" w:bottom="1575" w:left="1094" w:header="0" w:footer="3" w:gutter="0"/>
      <w:pgNumType w:start="1"/>
      <w:cols w:space="720"/>
      <w:noEndnote/>
      <w:titlePg/>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3921125</wp:posOffset>
              </wp:positionH>
              <wp:positionV relativeFrom="page">
                <wp:posOffset>476250</wp:posOffset>
              </wp:positionV>
              <wp:extent cx="67310" cy="103505"/>
              <wp:wrapNone/>
              <wp:docPr id="5" name="Shape 5"/>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8.75pt;margin-top:37.5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25FA6"/>
      <w:sz w:val="19"/>
      <w:szCs w:val="19"/>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9">
    <w:name w:val="Заголовок №1_"/>
    <w:basedOn w:val="DefaultParagraphFont"/>
    <w:link w:val="Style8"/>
    <w:rPr>
      <w:rFonts w:ascii="Times New Roman" w:eastAsia="Times New Roman" w:hAnsi="Times New Roman" w:cs="Times New Roman"/>
      <w:b/>
      <w:bCs/>
      <w:i w:val="0"/>
      <w:iCs w:val="0"/>
      <w:smallCaps w:val="0"/>
      <w:strike w:val="0"/>
      <w:sz w:val="28"/>
      <w:szCs w:val="28"/>
      <w:u w:val="none"/>
    </w:rPr>
  </w:style>
  <w:style w:type="character" w:customStyle="1" w:styleId="CharStyle12">
    <w:name w:val="Колонтитул (2)_"/>
    <w:basedOn w:val="DefaultParagraphFont"/>
    <w:link w:val="Style11"/>
    <w:rPr>
      <w:rFonts w:ascii="Times New Roman" w:eastAsia="Times New Roman" w:hAnsi="Times New Roman" w:cs="Times New Roman"/>
      <w:b w:val="0"/>
      <w:bCs w:val="0"/>
      <w:i w:val="0"/>
      <w:iCs w:val="0"/>
      <w:smallCaps w:val="0"/>
      <w:strike w:val="0"/>
      <w:sz w:val="20"/>
      <w:szCs w:val="20"/>
      <w:u w:val="none"/>
    </w:rPr>
  </w:style>
  <w:style w:type="character" w:customStyle="1" w:styleId="CharStyle16">
    <w:name w:val="Основной текст (3)_"/>
    <w:basedOn w:val="DefaultParagraphFont"/>
    <w:link w:val="Style15"/>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2)"/>
    <w:basedOn w:val="Normal"/>
    <w:link w:val="CharStyle3"/>
    <w:pPr>
      <w:widowControl w:val="0"/>
      <w:shd w:val="clear" w:color="auto" w:fill="auto"/>
      <w:spacing w:after="260"/>
      <w:jc w:val="center"/>
    </w:pPr>
    <w:rPr>
      <w:rFonts w:ascii="Times New Roman" w:eastAsia="Times New Roman" w:hAnsi="Times New Roman" w:cs="Times New Roman"/>
      <w:b w:val="0"/>
      <w:bCs w:val="0"/>
      <w:i w:val="0"/>
      <w:iCs w:val="0"/>
      <w:smallCaps w:val="0"/>
      <w:strike w:val="0"/>
      <w:color w:val="425FA6"/>
      <w:sz w:val="19"/>
      <w:szCs w:val="19"/>
      <w:u w:val="none"/>
    </w:rPr>
  </w:style>
  <w:style w:type="paragraph" w:customStyle="1" w:styleId="Style6">
    <w:name w:val="Основной текст"/>
    <w:basedOn w:val="Normal"/>
    <w:link w:val="CharStyle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8">
    <w:name w:val="Заголовок №1"/>
    <w:basedOn w:val="Normal"/>
    <w:link w:val="CharStyle9"/>
    <w:pPr>
      <w:widowControl w:val="0"/>
      <w:shd w:val="clear" w:color="auto" w:fill="auto"/>
      <w:jc w:val="center"/>
      <w:outlineLvl w:val="0"/>
    </w:pPr>
    <w:rPr>
      <w:rFonts w:ascii="Times New Roman" w:eastAsia="Times New Roman" w:hAnsi="Times New Roman" w:cs="Times New Roman"/>
      <w:b/>
      <w:bCs/>
      <w:i w:val="0"/>
      <w:iCs w:val="0"/>
      <w:smallCaps w:val="0"/>
      <w:strike w:val="0"/>
      <w:sz w:val="28"/>
      <w:szCs w:val="28"/>
      <w:u w:val="none"/>
    </w:rPr>
  </w:style>
  <w:style w:type="paragraph" w:customStyle="1" w:styleId="Style11">
    <w:name w:val="Колонтитул (2)"/>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5">
    <w:name w:val="Основной текст (3)"/>
    <w:basedOn w:val="Normal"/>
    <w:link w:val="CharStyle16"/>
    <w:pPr>
      <w:widowControl w:val="0"/>
      <w:shd w:val="clear" w:color="auto" w:fill="auto"/>
      <w:spacing w:after="2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s>
</file>