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298" w:right="1097" w:bottom="1149" w:left="1107"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ФГБНУ «РНЦХ им. академ. Б.В.</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Петровского»</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тиЪатед8Ып.г8@тед.ги</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ООО «Владпроект»</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V1а^р^о^ес^33@уап^еx.^и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057" w:bottom="1149" w:left="1140" w:header="0" w:footer="3" w:gutter="0"/>
          <w:cols w:num="2" w:space="683"/>
          <w:noEndnote/>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45" w:right="0" w:bottom="1163"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9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№077/06/106-ИФ7/2023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2019-пСоV.,</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ФГБНУ «РНЦХ им. академ. Б.В. Петровского»: Е.В.Плотниковой (по доверенности № б/н от 03.05.2023),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«Владпроект»: Н.С. Малышевой (по доверенности № 1 от 04.05.2023),</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рассмотрев жалобу ООО «Владпроект» (далее — Заявитель) на действия ФГБНУ «РНЦХ им. академ. Б.В. Петровского» (далее — Заказчик) при проведении открытого конкурса в электронной форме на право заключения государственного контракта на разработку проектно-сметной документации на </w:t>
      </w:r>
      <w:r>
        <w:rPr>
          <w:color w:val="000000"/>
          <w:spacing w:val="0"/>
          <w:w w:val="100"/>
          <w:position w:val="0"/>
          <w:shd w:val="clear" w:color="auto" w:fill="auto"/>
          <w:lang w:val="ru-RU" w:eastAsia="ru-RU" w:bidi="ru-RU"/>
        </w:rPr>
        <w:t>производство строительно-монтажных работ по ремонту помещений 1 этажа корпуса «Г» для размещения оборудования в кабинетах рентгенологического, денситометрического и маммографического исследования по адресу: г. Москва, ул. Погодинская, д. 7 НКЦ 1 (Закупка № 0373100072123000446)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конкурса.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мнению Заявителя, комиссией по осуществлению закупок Заказчика нарушены нормы Закона о контрактной системе в результате отклонения заявки Заявителя.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24.04.2023 №ИЭОК2 заявка ООО «Владпроект», с идентификационным номером 5, отклонена на следующем основании: </w:t>
      </w:r>
      <w:r>
        <w:rPr>
          <w:i/>
          <w:iCs/>
          <w:color w:val="000000"/>
          <w:spacing w:val="0"/>
          <w:w w:val="100"/>
          <w:position w:val="0"/>
          <w:shd w:val="clear" w:color="auto" w:fill="auto"/>
          <w:lang w:val="ru-RU" w:eastAsia="ru-RU" w:bidi="ru-RU"/>
        </w:rPr>
        <w:t>«На основании ч.9 ст. 31 № 44 ФЗ - Отстранение участника закупки»</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 2 ч. 5 ст. 49 Закона о контрактной системы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соответствии с п. 2 ч. 17 ст. 48 Закона о контрактной системы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о контрактной системе, с обоснованием </w:t>
      </w:r>
      <w:r>
        <w:rPr>
          <w:color w:val="000000"/>
          <w:spacing w:val="0"/>
          <w:w w:val="100"/>
          <w:position w:val="0"/>
          <w:shd w:val="clear" w:color="auto" w:fill="auto"/>
          <w:lang w:val="ru-RU" w:eastAsia="ru-RU" w:bidi="ru-RU"/>
        </w:rPr>
        <w:t>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установлено, что протокол подведения итогов определения поставщика (подрядчика, исполнителя) от 24.04.2023 №ИЭОК2 не содержит надлежащего обоснования отклонения заявки Заявителя, что нарушает ч.5 ст.49 Закона о контрактной системы, поскольку не раскрывает каким именно положениям, установленным в соответствии со ст.31 Закона о контрактной системе, не соответствует участник закупки или какие сведения в отношении соответствия указанным требованиям выявлены как недостоверная информация, содержащиеся в заявке участника.</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отклонение заявки Заявителя без обоснования конкретизации причины отклонения в протоколе подведения итогов определения поставщика (подрядчика, исполнителя) свидетельствует о нарушении комиссии по осуществлению закупок п.2 ч.5 ст.49 Закона о контрактной системе, а также свидетельствует о наличии признаков состава административного правонарушения, ответственность за которое предусмотрена ч.2.1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Исходя из содержания жалобы, Заявителем 25.04.2023 на электронной площадке Мф://го8екогд.ги направлен запрос о разъяснении результатов закупки № 0373100072123000446, в ответ на который Заказчик сообщил, что заявка Заявителя отклонена, поскольку участником закупки не представлен документ </w:t>
      </w:r>
      <w:r>
        <w:rPr>
          <w:i/>
          <w:iCs/>
          <w:color w:val="000000"/>
          <w:spacing w:val="0"/>
          <w:w w:val="100"/>
          <w:position w:val="0"/>
          <w:shd w:val="clear" w:color="auto" w:fill="auto"/>
          <w:lang w:val="ru-RU" w:eastAsia="ru-RU" w:bidi="ru-RU"/>
        </w:rPr>
        <w:t>«Решение о согласии на совершение или о последующем одобрении крупной сделки»</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Данные обстоятельства отклонения заявки Заявителя подтверждены на заседании Комиссии Управления представителем Заказчика.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Между тем Комиссия Управления отмечает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ч.9 ст.31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 1, чч. 1.1, 2 и 2.1 (при наличии таких требований) ст.31 Закона о контрактной системе, или предоставил недостоверную информацию в отношении своего соответствия указанным требованиям.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соответствии с </w:t>
      </w:r>
      <w:r>
        <w:rPr>
          <w:b/>
          <w:bCs/>
          <w:color w:val="0000FF"/>
          <w:spacing w:val="0"/>
          <w:w w:val="100"/>
          <w:position w:val="0"/>
          <w:sz w:val="19"/>
          <w:szCs w:val="19"/>
          <w:shd w:val="clear" w:color="auto" w:fill="auto"/>
          <w:lang w:val="ru-RU" w:eastAsia="ru-RU" w:bidi="ru-RU"/>
        </w:rPr>
        <w:t xml:space="preserve">п. </w:t>
      </w:r>
      <w:r>
        <w:rPr>
          <w:color w:val="000000"/>
          <w:spacing w:val="0"/>
          <w:w w:val="100"/>
          <w:position w:val="0"/>
          <w:shd w:val="clear" w:color="auto" w:fill="auto"/>
          <w:lang w:val="ru-RU" w:eastAsia="ru-RU" w:bidi="ru-RU"/>
        </w:rPr>
        <w:t>12 ч. 1 ст. 42 Закона о контрактной системе извещение об осуществлении закупки должно содержать требования, предъявляемые к участникам закупки в соответствии с ч. 1 ст. 31 Закона о контрактной системе, требования, предъявляемые к участникам закупки в соответствии с 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Исчерпывающий перечень информации и документов, которые должна содержать заявка на участие в конкурентном способе закупки, установлен в ч. 1 ст. 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извещения об осуществлении закупки содержатся требования о том, что заявка на участие в закупке должна содержать декларацию о соответствии участника закупки требованиям, установленным пп. 3-5, 7-11 ч. 1 ст. 31 Закона о контрактной системе, при этом иных требований к участникам закупки и составу заявки, указанных в ч.9 ст. 31 Закона о контрактной системе, в составе извещения об осуществлении закупки не содержится.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отстранение Заявителя в силу ч.9 ст.31 Закона о контрактной системе не основано на фактических обстоятельств дела с учетом разъяснений данных участнику закупки по содержанию отклонения заявки.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свою очередь, рассматривая вышеизложенное как причину несоответствия участника закупки установленным Заказчиком требованиям, Комиссией Управления установлено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пп.«м» п.1 ч.1 ст.43 Закона о контрактной системе для участия в конкурентном способе заявка на участие в закупке должна содержать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Данные требования к составу заявки также отражены в пп. «м» п. 1 Приложения №4 «Требования к содержанию, составу заявки на участие в электронной процедуре в соответствии с Законом № 44-ФЗ и инструкция по ее заполнению».</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доводам жалобы Заявитель указывает, что в составе заявки представлен Протокол № 2 от 20.02.2023 внеочередного Общего собрания участников ООО «Владпроект» (далее - Протокол №2).</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представленный Протокол №2 не является документом, указанным в Приложении №4, пп.«м» п.1 ч.1 ст.43 Закона о контрактной системе, так как устанавливает предельную сумму крупных сделок, заключаемых по результатам закупочных процедур, но не утверждает решение о согласии на совершение или о последующем одобрении крупной сделки.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из содержания представленного протокола следует, что собрание участников общества решили одобрить крупные сделки, заключаемые по результатам закупочных процедур (в том числе аукционов, конкурсов и других, в электронном и не электронном видах), на сумму не выше 100 000 000 (сто миллионов) рублей каждая со сроком действия данного решения до 20.02.2028 г».</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 учетом изложенного, Комиссия Управления приходит к выводу, что заявка Заявителя не противоречит установленным требованиям.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6"/>
        <w:keepNext w:val="0"/>
        <w:keepLines w:val="0"/>
        <w:widowControl w:val="0"/>
        <w:numPr>
          <w:ilvl w:val="0"/>
          <w:numId w:val="1"/>
        </w:numPr>
        <w:shd w:val="clear" w:color="auto" w:fill="auto"/>
        <w:tabs>
          <w:tab w:pos="1033"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
        </w:numPr>
        <w:shd w:val="clear" w:color="auto" w:fill="auto"/>
        <w:tabs>
          <w:tab w:pos="1698"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6"/>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1"/>
        </w:numPr>
        <w:shd w:val="clear" w:color="auto" w:fill="auto"/>
        <w:tabs>
          <w:tab w:pos="1033"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по осуществлению закупок Заказчика в части отклонения заявки ООО «Владпроект», по основанию указанному в протоколе подведения итогов,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 2 ст.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ходе заседания Комиссией Управления, принимая во внимание доводы жалобы Заявителя о замене протокола подведения итогов, установлено также следующее.</w:t>
      </w:r>
    </w:p>
    <w:p>
      <w:pPr>
        <w:pStyle w:val="Style6"/>
        <w:keepNext w:val="0"/>
        <w:keepLines w:val="0"/>
        <w:widowControl w:val="0"/>
        <w:numPr>
          <w:ilvl w:val="0"/>
          <w:numId w:val="1"/>
        </w:numPr>
        <w:shd w:val="clear" w:color="auto" w:fill="auto"/>
        <w:tabs>
          <w:tab w:pos="1138" w:val="left"/>
        </w:tabs>
        <w:bidi w:val="0"/>
        <w:spacing w:before="0" w:after="0"/>
        <w:ind w:left="0" w:right="0" w:firstLine="700"/>
        <w:jc w:val="both"/>
      </w:pPr>
      <w:r>
        <w:rPr>
          <w:color w:val="000000"/>
          <w:spacing w:val="0"/>
          <w:w w:val="100"/>
          <w:position w:val="0"/>
          <w:shd w:val="clear" w:color="auto" w:fill="auto"/>
          <w:lang w:val="ru-RU" w:eastAsia="ru-RU" w:bidi="ru-RU"/>
        </w:rPr>
        <w:t>04.2023 15:57 в ЕИС Заказчиком опубликован протокол подведения итогов определения поставщика (подрядчика, исполнителя) №ИЭОК1.</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24.04.2023 10:37 размещено извещение об отмене документа «Протокол подведения итогов определения поставщика (подрядчика, исполнителя) от 21.04.2023 №ИЭОК1» №ОП1 на основании предписания органа, уполномоченного на осуществление контроля № б/н от 21.04.2023.</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то же время подтвердить данные обстоятельства отмены протокола по указанному основанию, в частности представить документ, на основании которого такая отмена совершена, представители Заказчика затруднились, но пояснили, что данные действия осуществлены самостоятельно ввиду того, что протокол подведения итогов определения поставщика (подрядчика, исполнителя) от 21.04.2023 №ИЭОК1 размещен вследствие технической ошибки.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Заказчиком нарушен порядок формирования и публикации протокола подведения итогов определения поставщика (подрядчика, исполнителя), что выразилось в самостоятельной отмене Заказчиком протокола, опубликованного в единой информационной системе 21.04.2023, и размещением 24.04.2023 иного протокола подведения итогов определения поставщика (подрядчика, исполнителя). При этом в составе первоначального протокола подведения итогов определения поставщика (подрядчика, исполнителя), опубликованного в ЕИС 21.04.2023, заявка Заявителя признана соответствующей требованиям извещения об осуществлении закупки, в то время как протоколом от 24.04.2023 заявка Заявителя была признана несоответствующей.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силу п.2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w:t>
      </w:r>
      <w:r>
        <w:rPr>
          <w:color w:val="000000"/>
          <w:spacing w:val="0"/>
          <w:w w:val="100"/>
          <w:position w:val="0"/>
          <w:shd w:val="clear" w:color="auto" w:fill="auto"/>
          <w:lang w:val="ru-RU" w:eastAsia="ru-RU" w:bidi="ru-RU"/>
        </w:rPr>
        <w:t>площадки протокол подведения итогов определения поставщика (подрядчика, исполнителя), который должен содержать информацию, предусмотренную пп.1, 2, 4 - 7 ч.17 ст.48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опираясь на нормы Закона о контрактной системе, в частности на положения ст.49 Закона о контрактной системе и ч.22 ст.99 Закона о контрактной системе, отмена решения комиссии об осуществлении закупок Заказчика о признании участника соответствующим может производиться только на основании обязательного для исполнения предписания контрольного органа в сфере закупок. Заказчик по смыслу положений Закона о контрактной системе не наделен правом самостоятельной отмены принятого ранее решения. Кроме того, возможность подписания и размещения нескольких протоколов по результатам подведения итогов определения поставщика (подрядчика, исполнителя) Законом о контрактной системе также не предусмотрена.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рассматриваемой ситуации Заказчик разместил новый протокол подведения итогов определения поставщика (подрядчика, исполнителя), отменив ранее принятое решение, что противоречит положениям п.2 ч.5 ст.49 Закона о контрактной системе, а также содержит признаки состава административного правонарушения, ответственность за которое предусмотрена ч.2.1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ходе внеплановой проверки Комиссией Управления установлено, что Заказчиком неправомерно не установлены требования к участникам закупки о членстве в саморегулируемой организации (далее — СРО) в области архитектурно-строительного проектирования.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 12 ч. 1 ст. 42 Закона о контрактной системе извещение об осуществлении закупки должно содержать, в том числе,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пп. 4, 5, 18, 30, 42, 49, 54 и 59 ч. 1 ст. 93 Закона о контрактной системе,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Ч.5 ст. 31 Закона о контрактной системе установлено, что информация об установленных требованиях в соответствии с чч. 1, 1.1, 2 и 2.1 ст. 31 Закона о контрактной системе указывается заказчиком в извещении об осуществлении закупки и документации о закупке.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ч.1 ст.48 Градостроительного кодекса Российской Федерации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 12.2 ст. 48 Градостроительного кодекса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ч.2.1 ст.48 Градостроительного кодекса Российской Федерации рабочая документация представляет собой документацию, содержащую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Подготовка проектной документации и рабочей документации может осуществляться одновременно.</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ч.5.2 ст.48 Градостроительного кодекса Российской Федерации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Извещению о проведении открытого конкурса в электронной форме от 03.04.2023 №0373100072123000446 объектом закупочной процедуры является разработка проектно-сметной документации на производство строительно-монтажных работ по ремонту помещений 1 этажа корпуса «Г» для размещения оборудования в кабинетах рентгенологического, денситометрического и маммографического исследования по адресу: г. Москва, ул. Погодинская, д. 7 НКЦ 1.</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согласно положениям Технического задания, объектом закупки является разработка проектно-сметной документации на производство строительно-монтажных работ по ремонту помещений 1 этажа корпуса «Г» для размещения оборудования в кабинетах рентгенологического, денситометрического и маммографического исследования по адресу: г. Москва, ул. Погодинская, д. 7 НКЦ 1, которая включает в себя:</w:t>
      </w:r>
    </w:p>
    <w:p>
      <w:pPr>
        <w:pStyle w:val="Style6"/>
        <w:keepNext w:val="0"/>
        <w:keepLines w:val="0"/>
        <w:widowControl w:val="0"/>
        <w:numPr>
          <w:ilvl w:val="0"/>
          <w:numId w:val="3"/>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Требования к архитектурно-художественным решениям, включая требования к графическим материалам (указываются для объектов производственного и непроизводственного назначения);</w:t>
      </w:r>
    </w:p>
    <w:p>
      <w:pPr>
        <w:pStyle w:val="Style6"/>
        <w:keepNext w:val="0"/>
        <w:keepLines w:val="0"/>
        <w:widowControl w:val="0"/>
        <w:numPr>
          <w:ilvl w:val="0"/>
          <w:numId w:val="3"/>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Требования к технологическим решениям;</w:t>
      </w:r>
    </w:p>
    <w:p>
      <w:pPr>
        <w:pStyle w:val="Style6"/>
        <w:keepNext w:val="0"/>
        <w:keepLines w:val="0"/>
        <w:widowControl w:val="0"/>
        <w:numPr>
          <w:ilvl w:val="0"/>
          <w:numId w:val="3"/>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Требования к стенам, подвалам и цокольному этажу (указывается необходимость применения материалов, изделий, конструкций либо определяются конкретные требования к материалам, изделиям, конструкциям);</w:t>
      </w:r>
    </w:p>
    <w:p>
      <w:pPr>
        <w:pStyle w:val="Style6"/>
        <w:keepNext w:val="0"/>
        <w:keepLines w:val="0"/>
        <w:widowControl w:val="0"/>
        <w:numPr>
          <w:ilvl w:val="0"/>
          <w:numId w:val="3"/>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Требования к внутренним стенам и перегородкам (указывается необходимость применения материалов, изделий, конструкций либо определяются конкретные требования к материалам, изделиям, конструкциям).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Таким образом, с учетом содержащегося в Техническом задании указания на нормативно-технические стандарты, регламентирующие формирование проектной и рабочей документации, также порядок работ, предусматривающий выполнение предпроектного обследования, результаты которого представляют содержат материалы в текстовой и графической формах и отражающий сведения о задачах, положений Градостроительного кодекса Российской Федерации, определяющих порядок выполнения инженерных изысканий и </w:t>
      </w:r>
      <w:r>
        <w:rPr>
          <w:color w:val="000000"/>
          <w:spacing w:val="0"/>
          <w:w w:val="100"/>
          <w:position w:val="0"/>
          <w:shd w:val="clear" w:color="auto" w:fill="auto"/>
          <w:lang w:val="ru-RU" w:eastAsia="ru-RU" w:bidi="ru-RU"/>
        </w:rPr>
        <w:t>разработки проектно-сметной документации, указания на порядок разработки рабочей документации, экспертизы такой документации, а также пояснений Заказчика, что при разработке документации должны быть также соблюдены требования к составу разделов проектной документации и их содержанию, предусмотренные Постановлением Правительства РФ от 16.02.2008 № 87 «О составе разделов проектной документации и требованиях к их содержанию» Комиссия Управления приходит к выводу о том, что Заказчиком в нарушение ч.5 ст. 31, п. 12 ч. 1 ст. 42 Закона о контрактной системе не установлено требование к участникам закупки о членстве СРО в области архитектурно</w:t>
        <w:softHyphen/>
        <w:t>строительного проектирования,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Также Комиссией Управления при рассмотрении установленного порядка оценки заявок участников закупки по детализирующему показателю «Общая цена исполненных участником закупки контрактов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установлено следующее.</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6"/>
        <w:keepNext w:val="0"/>
        <w:keepLines w:val="0"/>
        <w:widowControl w:val="0"/>
        <w:numPr>
          <w:ilvl w:val="0"/>
          <w:numId w:val="5"/>
        </w:numPr>
        <w:shd w:val="clear" w:color="auto" w:fill="auto"/>
        <w:tabs>
          <w:tab w:pos="1037"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5"/>
        </w:numPr>
        <w:shd w:val="clear" w:color="auto" w:fill="auto"/>
        <w:tabs>
          <w:tab w:pos="114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5"/>
        </w:numPr>
        <w:shd w:val="clear" w:color="auto" w:fill="auto"/>
        <w:tabs>
          <w:tab w:pos="114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5"/>
        </w:numPr>
        <w:shd w:val="clear" w:color="auto" w:fill="auto"/>
        <w:tabs>
          <w:tab w:pos="114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 xml:space="preserve">В силу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w:t>
      </w:r>
      <w:r>
        <w:rPr>
          <w:color w:val="000000"/>
          <w:spacing w:val="0"/>
          <w:w w:val="100"/>
          <w:position w:val="0"/>
          <w:shd w:val="clear" w:color="auto" w:fill="auto"/>
          <w:lang w:val="ru-RU" w:eastAsia="ru-RU" w:bidi="ru-RU"/>
        </w:rPr>
        <w:t>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открытого конкурса в электронной форме от 03.04.2023 №0373100072123000446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п.3 Положения для оценки заявок в соответствии с настоящим Положением применяются следующие критерии оценки:</w:t>
      </w:r>
    </w:p>
    <w:p>
      <w:pPr>
        <w:pStyle w:val="Style6"/>
        <w:keepNext w:val="0"/>
        <w:keepLines w:val="0"/>
        <w:widowControl w:val="0"/>
        <w:numPr>
          <w:ilvl w:val="0"/>
          <w:numId w:val="7"/>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7"/>
        </w:numPr>
        <w:shd w:val="clear" w:color="auto" w:fill="auto"/>
        <w:tabs>
          <w:tab w:pos="11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расходы;</w:t>
      </w:r>
    </w:p>
    <w:p>
      <w:pPr>
        <w:pStyle w:val="Style6"/>
        <w:keepNext w:val="0"/>
        <w:keepLines w:val="0"/>
        <w:widowControl w:val="0"/>
        <w:numPr>
          <w:ilvl w:val="0"/>
          <w:numId w:val="7"/>
        </w:numPr>
        <w:shd w:val="clear" w:color="auto" w:fill="auto"/>
        <w:tabs>
          <w:tab w:pos="11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объекта закупки;</w:t>
      </w:r>
    </w:p>
    <w:p>
      <w:pPr>
        <w:pStyle w:val="Style6"/>
        <w:keepNext w:val="0"/>
        <w:keepLines w:val="0"/>
        <w:widowControl w:val="0"/>
        <w:numPr>
          <w:ilvl w:val="0"/>
          <w:numId w:val="7"/>
        </w:numPr>
        <w:shd w:val="clear" w:color="auto" w:fill="auto"/>
        <w:tabs>
          <w:tab w:pos="110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9"/>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9"/>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9"/>
        </w:numPr>
        <w:shd w:val="clear" w:color="auto" w:fill="auto"/>
        <w:tabs>
          <w:tab w:pos="10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9"/>
        </w:numPr>
        <w:shd w:val="clear" w:color="auto" w:fill="auto"/>
        <w:tabs>
          <w:tab w:pos="10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9"/>
        </w:numPr>
        <w:shd w:val="clear" w:color="auto" w:fill="auto"/>
        <w:tabs>
          <w:tab w:pos="10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6"/>
        <w:keepNext w:val="0"/>
        <w:keepLines w:val="0"/>
        <w:widowControl w:val="0"/>
        <w:numPr>
          <w:ilvl w:val="0"/>
          <w:numId w:val="9"/>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щая цена исполненных участником закупки договоров;</w:t>
      </w:r>
    </w:p>
    <w:p>
      <w:pPr>
        <w:pStyle w:val="Style6"/>
        <w:keepNext w:val="0"/>
        <w:keepLines w:val="0"/>
        <w:widowControl w:val="0"/>
        <w:numPr>
          <w:ilvl w:val="0"/>
          <w:numId w:val="9"/>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щее количество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 по детализирующему показателю «Общая цена исполненных участником закупки контрактов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«Под работами (услугами), связанными с предметом контракта, заключаемого по результатам проведения закупки, понимаются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как отмечено выше, объектом закупки является разработка проектно-сметной документации на производство строительно-монтажных работ по ремонту помещений, что не сопоставимо с предметом договоров (контрактов), принимаемых к оценке.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Дополнительно Комиссия Управления отмечает, что в извещении об осуществлении закупки в силу ч.2 ст. 31 Закона о контрактной системе установлены дополнительные требования к участникам закупки в соответствии с п.6 раздела II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установлены дополнительные требования к участникам закупки при выполнении работ по подготовке проектной </w:t>
      </w:r>
      <w:r>
        <w:rPr>
          <w:color w:val="000000"/>
          <w:spacing w:val="0"/>
          <w:w w:val="100"/>
          <w:position w:val="0"/>
          <w:shd w:val="clear" w:color="auto" w:fill="auto"/>
          <w:lang w:val="ru-RU" w:eastAsia="ru-RU" w:bidi="ru-RU"/>
        </w:rPr>
        <w:t>документации и (или) выполнению инженерных изысканий в соответствии с законодательством о градостроительной деятельности.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п.6 Приложения при проведении закупочной процедуры объектом которой являются работы по подготовке проектной документации и (или) выполнению инженерных изысканий в соответствии с законодательством о градостроительной деятельности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опираясь на вышеуказанные положения Постановления №2571, сопоставимыми с предметом рассматриваемого контракта работами являются работы по подготовке проектной документации и (или) выполнению инженерных изысканий в соответствии с законодательством о градостроительной деятельности.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положения порядки оценки составлены ненадлежащим образом и могут повлечь за собой ограничение количества участников закупки, что нарушает п.11 ч.1 ст.42, ч.8 ст.32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445" w:right="1098" w:bottom="1163" w:left="109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1.Признать жалобу ООО «Владпроект» на действия ФГБНУ «РНЦХ им. академ. Б.В. Петровского» обоснованной.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2.Признать в действиях комиссии по осуществлению Заказчика ч.5 ст.49 Закона о контрактной системе, в действиях Заказчика ч.5 ст. 31, п. 12 ч. 1 и п.11 ч.1 ст.42, ч.8 ст.32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2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tabs>
          <w:tab w:pos="7858" w:val="left"/>
        </w:tabs>
        <w:bidi w:val="0"/>
        <w:spacing w:before="0" w:after="220" w:line="240"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6"/>
        <w:keepNext w:val="0"/>
        <w:keepLines w:val="0"/>
        <w:widowControl w:val="0"/>
        <w:shd w:val="clear" w:color="auto" w:fill="auto"/>
        <w:tabs>
          <w:tab w:pos="7618" w:val="left"/>
        </w:tabs>
        <w:bidi w:val="0"/>
        <w:spacing w:before="0" w:after="220" w:line="240" w:lineRule="auto"/>
        <w:ind w:left="0" w:right="0" w:firstLine="0"/>
        <w:jc w:val="both"/>
      </w:pPr>
      <w:r>
        <w:rPr>
          <w:color w:val="000000"/>
          <w:spacing w:val="0"/>
          <w:w w:val="100"/>
          <w:position w:val="0"/>
          <w:shd w:val="clear" w:color="auto" w:fill="auto"/>
          <w:lang w:val="ru-RU" w:eastAsia="ru-RU" w:bidi="ru-RU"/>
        </w:rPr>
        <w:t>Члены Комиссии</w:t>
        <w:tab/>
        <w:t>А.А.Кутейников</w:t>
      </w:r>
    </w:p>
    <w:p>
      <w:pPr>
        <w:pStyle w:val="Style6"/>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14"/>
        <w:keepNext w:val="0"/>
        <w:keepLines w:val="0"/>
        <w:widowControl w:val="0"/>
        <w:shd w:val="clear" w:color="auto" w:fill="auto"/>
        <w:bidi w:val="0"/>
        <w:spacing w:before="0"/>
        <w:ind w:left="0" w:right="0" w:firstLine="0"/>
        <w:jc w:val="both"/>
      </w:pPr>
      <w:r>
        <w:rPr>
          <w:color w:val="000000"/>
          <w:spacing w:val="0"/>
          <w:w w:val="100"/>
          <w:position w:val="0"/>
          <w:sz w:val="24"/>
          <w:szCs w:val="24"/>
          <w:shd w:val="clear" w:color="auto" w:fill="auto"/>
          <w:lang w:val="ru-RU" w:eastAsia="ru-RU" w:bidi="ru-RU"/>
        </w:rPr>
        <w:t>Исп. Фурсиков И.И. тел.(495) 784-75-05</w:t>
      </w:r>
    </w:p>
    <w:sectPr>
      <w:footnotePr>
        <w:pos w:val="pageBottom"/>
        <w:numFmt w:val="decimal"/>
        <w:numRestart w:val="continuous"/>
      </w:footnotePr>
      <w:pgSz w:w="11900" w:h="16840"/>
      <w:pgMar w:top="1662" w:right="1112" w:bottom="1662" w:left="110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3716655</wp:posOffset>
              </wp:positionH>
              <wp:positionV relativeFrom="page">
                <wp:posOffset>753745</wp:posOffset>
              </wp:positionV>
              <wp:extent cx="133985" cy="100330"/>
              <wp:wrapNone/>
              <wp:docPr id="3" name="Shape 3"/>
              <a:graphic xmlns:a="http://schemas.openxmlformats.org/drawingml/2006/main">
                <a:graphicData uri="http://schemas.microsoft.com/office/word/2010/wordprocessingShape">
                  <wps:wsp>
                    <wps:cNvSpPr txBox="1"/>
                    <wps:spPr>
                      <a:xfrm>
                        <a:ext cx="13398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2.65000000000003pt;margin-top:59.350000000000001pt;width:10.550000000000001pt;height:7.9000000000000004pt;z-index:-18874406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 (3)_"/>
    <w:basedOn w:val="DefaultParagraphFont"/>
    <w:link w:val="Style14"/>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3)"/>
    <w:basedOn w:val="Normal"/>
    <w:link w:val="CharStyle15"/>
    <w:pPr>
      <w:widowControl w:val="0"/>
      <w:shd w:val="clear" w:color="auto" w:fill="auto"/>
      <w:spacing w:after="220" w:line="218" w:lineRule="auto"/>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