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548640</wp:posOffset>
                </wp:positionV>
                <wp:extent cx="1374775" cy="14782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147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ЦКБ ГА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хакирИ@скЪда.гн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ИП Панова О.А.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IрРапоVа@Ък.^и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25pt;margin-top:43.200000000000003pt;width:108.25pt;height:116.4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ЦКБ ГА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хакирИ@скЪда.гн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ИП Панова О.А.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IрРапоVа@Ък.^и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00" w:right="0" w:firstLine="880"/>
        <w:jc w:val="both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both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560" w:right="0" w:firstLine="0"/>
        <w:jc w:val="both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е-гпаЛ: 1о77@(а8.еоу.ги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990" w:val="left"/>
          <w:tab w:pos="2705" w:val="left"/>
        </w:tabs>
        <w:bidi w:val="0"/>
        <w:spacing w:before="0" w:after="1720" w:line="240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4.04.2023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16165/23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1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077/06/106-4593/2023 о нарушении</w:t>
        <w:br/>
        <w:t>законодательства о контрактной системе</w:t>
        <w:br/>
        <w:t>11.04.2023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 — 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ЦКБ ГА: А.Н. Бычихина (дов.№ 10/2023 от 09.01.2023),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Панова О.А.: А.К. Мокрых, А.Е. Ордян (дов.№ 10/1-04 от 06.04.2023),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0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749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Панова О.А. (далее — Заявитель) на действия ЦКБ ГА (далее — Заказчик) при проведении электронного аукциона на право заключения государственного контракта на поставку дезинфицирующих средств (Закупка № 0373100088123000037)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 № НП/14883/23 от 06.04.2023.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указывает, что в Техническом задании Заказчиком установлены различные требования к срокам годности рабочих растворов дезинфицирующих средств, а также к сроку годности средств: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10.4.1 «Средство дезинфицирующее»: «Срок годности рабочих растворов: не менее 4, но не более 10 суток»;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12.4.2, 14.4.2 «Средство дезинфицирующее»: «Срок годности рабочих растворов: не менее 28 суток, но не более 42 суток»;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10.4.2 «Средство дезинфицирующее»: «Срок годности средства: не менее 4, но не более 5 лет»;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12.4.1, 14.4.1 «Средство дезинфицирующее»: «Срок годности средства: не менее 4, но не более 5 лет», что является ограничивающим фактором, поскольку Заявитель не может предложить к поставке товар с иным сроком годности.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Ч.2 ст.33 Закона о контрактной системе установлено, что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срок годности рабочего раствора в пп. 12.4.2, 14.4.2 установлен исходя из наличия у Заказчика средств с такими характеристиками, а также ввиду карантинных требований СанПин 3.3686-21, при этом в Техническом задании установлено обоснование данного срока годности: «карантинные меры: ч.2344, ч.2375, ч. 2388 СанПиН 3.3686-21». Так, согласно ч.2344 СанПин: «С фекалиями ВГЕ выделяется с последних дней инкубационного периода до 4 - 6 недель от начала клинических проявлений заболевания», то есть от 28 до 42 суток/дней, что соответствует техническому заданию.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п.10.4.1 Технического задания Заказчиком установлен срок годности рабочих растворов: не менее 4, но не более 10 суток исходя из проведенного анализа рынка дезинфицирующих средств и сроков годности рабочего раствора, а также исходя из опыта работы с хлорсодержащими средствами. При этом обоснование установления данной характеристики Заказчиком также прописано в графе «Обоснование установления требования».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добавил, что к п.10 Технического задания подходят следующие средства со сроком годности рабочих растворов: не менее 4, но не более 10 суток: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-«Конти-хлор» (ООО «Континент», Россия). СГР: КИ.77.99.88.002.Е.001086.04.22 от 08.04.2022. Согласно п.1.1 инструкции по применению № 7/15 от 01.12.2015 срок годности рабочих растворов составляет не более 7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-«Санит Хлор таблетки» (ЗАО Санитарная оборона, Республика Беларусь). СГР ВТ.50.51.01.002.Е.000346.09.21 от 03.09.2021. Согласно п.1.1 инструкции по применению от 15.05.2021 № 12-09.01/4361 срок годности рабочих растворов составляет 8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-«Димакс хлор» (ООО «Интерсэн-плюс», Россия). СГР: КИ.77.99.88.002.Е.000561.02.22 от 18.02.2022г. Согласно п.1.1 инструкции по применению № Д-11А/21 от 30.12.2021 срок годности рабочих растворов составляет 7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-«Хлорэксель» (ООО «Сириус», Россия). СГР: КШ7.99.88.002.Е.001484.04.21 от 29.04.2021 г. Согласно п.1.1 инструкции по применению № 04/19 от 07.03.2019 срок годности рабочих растворов составляет 5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-«Хлорель» (ООО «Хематек», Россия). СГР: Ки.77.99.88.002.Е.003114.04.13 от 19.04.2013г. Согласно п.1.1 инструкции по применению № 01/13 от 02.04.2013 срок годности рабочих растворов составляет 5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-«Ремедин хлор» (ООО «Мир дезинфекции», Россия). СГР: КШ7.99.88.002.Е.002153.06.19 от 19.06.2019 г. Согласно п.1.1 инструкции по применению № 66/19 от 27.05.2019 срок годности рабочих растворов составляет 7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-«Хлор-Ал» (ТОО «Производственный комплекс «Аврора», Республика Казахстан). К2.16.01.99.002.Е.002447.08.13 от 28.08.2013г. Согласно п.1.1 инструкции по применению б/н от 28.08.2013 срок годности рабочих растворов составляет 5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 п.12 Технического задания подходят следующие средства различных производителей со сроком годности рабочих растворов: не менее 28, но не более 42 суток: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-«Мегабак» (ООО «Интерсэн-плюс», Россия). СГР: ВЦ\77.99.88.002.Е.003075.08.19 от 29.08.2019 г. Согласно п.1.1 инструкции по применению № Д-27/19 от 17.07.2019 срок годности рабочих растворов составляет 41 сутки.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-«ЦитоДез Комплекс» (ООО «Альмед Компани», Россия). СГР: КС.11.01.09.002.Е.003043.07.22 от 12.07.2022г. Согласно п.1.1 инструкции по применению № 03/22 от 16.06.2022 срок годности рабочих растворов составляет 35 суток.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«Ультрабак» (ООО «Дезвест», Россия). СГР: ВЦ\77.99.37.002.Е.014978.10.12 от 24.10.2012г. Согласно п.1.1 инструкции по применению № 001/12 от 29.03.2012г срок годности рабочих растворов составляет 41 сутки.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«Квартет» (ООО «Септа», Россия). СГР: Ки.77.99.01.002.Е.031066.08.11 от 08.08.2011г. Согласно п.1.1 инструкции по применению 28.06.2011г. № 5. срок годности рабочих растворов составляет 39 суток.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«Феодез Форте лайт» (ООО «Феомед», Россия). СГР: ВТ.70.06.01.002.Е.003816.08.17 от 04.08.2017 г. Согласно п.1.1 инструкции по применению № 06/17 от 28.06.2017г срок годности рабочих растворов составляет 40 суток.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Представитель Заказчика также добавил, что Заказчик установил требование к сроку годности средств: «Не менее 4 лет, но не более 5 лет», поскольку согласно ч.578 СанПин: «Мероприятия по санитарной охране территории Российской Федерации носят межведомственный характер, разрабатываются органами, осуществляющими федеральный государственный санитарно-эпидемиологический надзор в субъектах Российской Федерации, органами исполнительной власти субъекта Российской Федерации в сфере охраны здоровья, и включаются в комплексные планы мероприятий по санитарной охране территории 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утверждаются 1 раз в 5 лет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органами исполнительной власти субъектов Российской Федерации и муниципальных образований», ввиду чего Заказчик не может установить срок годности средства выше 5 лет, поскольку следующий план может отличаться от предыдущего требованиями к проводимым мероприятиям по профилактическим и противоэпидемическим мероприятиям.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установленному Заказчиком требованию к определенному сроку годности средств соответствуют следующие товары: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-«ТехноАмин» (ООО «Техномед», Россия). СГР: К6.11.01.09.002.Е.002485.07.20 от 10.07.2020 г. Согласно п.1.1 инструкции по применению № 05-20 от 15.04.2020 имеет срок годности 5 лет.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-«Неоклин Экстра» (ОАО НПО «Новодез», Россия). СГР: К2.16.01.99.002.Е.002132.07.13 от 22.07.2013г. Согласно п.1.1 инструкции по применению № 110-1/2012 от 12.07.2012 имеет срок годности 5 лет.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-«Оптимакс» (ООО «Интерсэн-плюс», Россия). СГР: КШ7.99.88.002.Е.003264.08.21 от 31.08.2021г. Согласно п.1.1 инструкции по применению № Д-18Б/19 от 29.03.2019 имеет срок годности 5 лет.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Заказчиком в закупочной документации использованы позиции КТРУ, при этом приведено надлежащее обоснование использования дополнительных характеристик, не включенных в КТРУ, в том числе приведено обоснование установления требований к определенному сроку годности рабочих растворов, дезинфицирующих средств. Кроме того, Заказчиком представлены сведения о наличии на товарном рынке закупаемых средств с соответствующими характеристиками, не противоречащими требованиям Технического задания.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Управления отмечает, что Заявителем в составе жалобы, а также на заседании комиссии не представлено наименования средства, предлагаемого ИП Пановой О.А. в качестве поставке, которое, по мнению Заявителя, соответствует Техническому заданию, при этом имеет больший срок годности рабочего раствора, срок годности самого средства.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Также в составе жалобы Заявитель указывает, что Заказчиком п. 10.4.3 Технического задания установлено неправомерное требование к фасовке дезинфицирующего средства: «не менее 350 таблеток в банке/не менее 1 килограмма», поскольку указанный в обосновании п. 3.4 ГОСТ Р 58151.1-2018 не содержит требования по количеству таблеток в банке. Установленное Заказчиком требование препятствует подачи заявки Заявителя, поскольку ИП Панова О.А. планировал предложить к поставке средство, имеющее вес 1 кг, но содержащее 300 таблеток в банке.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Заказчиком установлено данное требование исходя из потребности, поскольку данная фасовка обеспечивает удобство хранения, учета и использования в работе, согласно п. 3.4 ГОСТ Р 58151.1-2018. При этом данному требованию соответствуют следующие средства: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-«Конти-хлор» (ООО «Континент», Россия). СГР: КШ7.99.88.002.Е.001086.04.22 от 08.04.2022. Согласно п.1.1 инструкции по применению № 7/15 от 01.12.2015 «Выпускается: ...таблеток весом 1,0 г,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выделяющих при растворении 0,46 г активного хлора и в виде гранул. Таблетки и гранулы расфасованы в банки из полимерных материалов с плотно закрывающимися крышками массой 1 кг или другую полимерную тару по действующей нормативной документации». Если таблетка весит 1,0 г, то в 1 кг 1000 штук.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-«Санит Хлор таблетки» (ЗАО Санитарная оборона, Республика Беларусь). СГР ВТ.50.51.01.002.Е.000346.09.21 от 03.09.2021. Согласно п.1.1 инструкции по применению от 15.05.2021 № 12-09.01/4361 вес 1 таблетки 2,7г. Средство упаковывается в банки весом от 500г до 10 000г. Исходя из веса таблетки в 1 кг 370 таблеток.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-«Димакс хлор» (ООО «Интерсэн-плюс», Россия). СГР: КИ.77.99.88.002.Е.000561.02.22 от 18.02.2022г. Согласно п.1.1 инструкции по применению № Д-11А/21 от 30.12.2021 средство выпускается в банках по 370 таблеток, весом 2,7г.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-«Хлорэксель» (ООО «Сириус», Россия). СГР: КИ.77.99.88.002.Е.001484.04.21 от 29.04.2021 г. Согласно п.1.1 инструкции по применению № 04/19 от 07.03.2019 в банке 1000 таблеток.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-«Хлорель» (ООО «Хематек», Россия). СГР: ВЦ\77.99.88.002.Е.003114.04.13 от 19.04.2013г. Согласно п.1.1 инструкции по применению № 01/13 от 02.04.2013 таблетки массой 2,7 г. Исходя из веса таблетки в 1 кг 370 таблеток.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-«Ремедин хлор» (ООО «Мир дезинфекции», Россия). СГР: КИ.77.99.88.002.Е.002153.06.19 от 19.06.2019 г. Согласно п.1.1 инструкции по применению № 66/19 от 27.05.2019 средство выпускается в виде таблеток массой 2,70±0,27 г. Средство выпускается в ... банках по 10, 20-1000 таблеток. из веса таблетки в 1 кг 370 таблеток.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-«Хлор-Ал» (ТОО «Производственный комплекс «Аврора», Республика Казахстан). СГР: К2.16.01.99.002.Е.002447.08.13 от 28.08.2013г. Согласно п.1.1 инструкции по применению б/н от 28.08.2013 таблетки весом 2,66 г. Средство выпускается в полимерных тарах с мерной ложкой внутри вместимостью 1 кг. Исходя из веса таблетки в 1 кг 375 таблеток.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установленное в Техническом задании требование к фасовке дезинфицирующего средства обосновывается потребностью Заказчика, а также имеющимся опытом ведения хозяйственной деятельности.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в соответствии с ч.2 ст.33 Закона о контрактной системе Заказчик обязан в Описании объекта закупки включать показатели, позволяющие определить соответствие закупаемых товара, работы, услуги установленным заказчиком требованиям, при этом Заказчиком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установленное Заказчиком требование к определенной фасовке закупаемого средства является правомерным и не может свидетельствовать об ограничении количества участников закупки, поскольку данному требованию соответствуют средства различных производителей.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По мнению Заявителя, совокупности установленных параметров к закупаемому товару по п.6 «Средство дезинфицирующее» соответствуют товары единственного производителя, а именно салфетки «ОПТИМАКС С» / «ОРТ1МАХ 8», салфетки для дезинфекции поверхностей «8РЕ^^», производителя ООО «ИНТЕРСЭН-плюс», Россия.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 закупаемому товару по п.6 «Средство дезинфицирующее» с характеристиками, заявленными в Техническом задании соответствуют товары иного производителя, а именно: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-«ПРОКЛИН-АФ салфетка» (ООО "Медицинская дезинфекция"; ФКУ ИК-9 ГУФСИН России по Нижегородской области; ООО "БИОМЕДДЕЗ-ПЛЮС", Россия). СГР: КИ.77.99.88.002.Е.002772.06.17 от 21.06.2017 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жалобы,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техническом задании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Панова О.А. на действия ЦКБ ГА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письмом Московского УФАС России № НП/14883/23 от 06.04.2023.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7" w:bottom="1254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783080" distL="0" distR="0" simplePos="0" relativeHeight="125829381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450000000000003pt;margin-top:10.pt;width:145.70000000000002pt;height:19.699999999999999pt;z-index:-125829372;mso-wrap-distance-left:0;mso-wrap-distance-top:10.pt;mso-wrap-distance-right:0;mso-wrap-distance-bottom:140.4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1426845" distL="0" distR="1789430" simplePos="0" relativeHeight="125829383" behindDoc="0" locked="0" layoutInCell="1" allowOverlap="1">
            <wp:simplePos x="0" y="0"/>
            <wp:positionH relativeFrom="page">
              <wp:posOffset>3100705</wp:posOffset>
            </wp:positionH>
            <wp:positionV relativeFrom="paragraph">
              <wp:posOffset>196850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601980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65000000000003pt;margin-top:47.39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3518535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05000000000001pt;margin-top:22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1103630" distL="0" distR="0" simplePos="0" relativeHeight="125829384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758190</wp:posOffset>
                </wp:positionV>
                <wp:extent cx="2099945" cy="2984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994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Кутейников Антон Андреевич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6366183222Р5ОСЕ2САЗЕ6О732820С91 </w:t>
                            </w: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23.01.2023 по 17.04.2024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34999999999999pt;margin-top:59.700000000000003pt;width:165.34999999999999pt;height:23.5pt;z-index:-125829369;mso-wrap-distance-left:0;mso-wrap-distance-top:59.700000000000003pt;mso-wrap-distance-right:0;mso-wrap-distance-bottom:86.90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Кутейников Антон Андреевич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6366183222Р5ОСЕ2САЗЕ6О732820С91 </w:t>
                      </w: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23.01.2023 по 17.04.2024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8890" distB="631190" distL="0" distR="0" simplePos="0" relativeHeight="125829386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1278890</wp:posOffset>
                </wp:positionV>
                <wp:extent cx="134112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450000000000003pt;margin-top:100.7pt;width:105.60000000000001pt;height:19.699999999999999pt;z-index:-125829367;mso-wrap-distance-left:0;mso-wrap-distance-top:100.7pt;mso-wrap-distance-right:0;mso-wrap-distance-bottom:49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23695" distB="0" distL="0" distR="1789430" simplePos="0" relativeHeight="125829388" behindDoc="0" locked="0" layoutInCell="1" allowOverlap="1">
            <wp:simplePos x="0" y="0"/>
            <wp:positionH relativeFrom="page">
              <wp:posOffset>3100705</wp:posOffset>
            </wp:positionH>
            <wp:positionV relativeFrom="paragraph">
              <wp:posOffset>1623695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2026285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65000000000003pt;margin-top:159.55000000000001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3518535</wp:posOffset>
                </wp:positionH>
                <wp:positionV relativeFrom="paragraph">
                  <wp:posOffset>1715135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05000000000001pt;margin-top:135.05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04570" distB="356870" distL="0" distR="0" simplePos="0" relativeHeight="125829389" behindDoc="0" locked="0" layoutInCell="1" allowOverlap="1">
                <wp:simplePos x="0" y="0"/>
                <wp:positionH relativeFrom="page">
                  <wp:posOffset>5902325</wp:posOffset>
                </wp:positionH>
                <wp:positionV relativeFrom="paragraph">
                  <wp:posOffset>1004570</wp:posOffset>
                </wp:positionV>
                <wp:extent cx="1310640" cy="7988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798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4.75pt;margin-top:79.100000000000009pt;width:103.2pt;height:62.899999999999999pt;z-index:-125829364;mso-wrap-distance-left:0;mso-wrap-distance-top:79.100000000000009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3100705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65000000000003pt;margin-top:36.899999999999999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3518535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05000000000001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79ЕЗЕ4О372В53АЕ5С9427АО21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ЕА4916В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26.09.2022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2023-17765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2023-17765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2023-17765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94.7000000000000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2023-17765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69999999999999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8"/>
      <w:szCs w:val="1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character" w:customStyle="1" w:styleId="CharStyle18">
    <w:name w:val="Основной текст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160" w:line="254" w:lineRule="auto"/>
      <w:ind w:left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8"/>
      <w:szCs w:val="1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paragraph" w:customStyle="1" w:styleId="Style17">
    <w:name w:val="Основной текст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