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54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326" w:lineRule="exact"/>
        <w:ind w:left="540" w:right="260" w:firstLine="0"/>
      </w:pPr>
      <w:r>
        <w:rPr>
          <w:lang w:val="ru-RU" w:eastAsia="ru-RU" w:bidi="ru-RU"/>
          <w:sz w:val="24"/>
          <w:szCs w:val="24"/>
          <w:w w:val="100"/>
          <w:spacing w:val="0"/>
          <w:color w:val="000000"/>
          <w:position w:val="0"/>
        </w:rPr>
        <w:t>Государственное казенное учреждение «Управление строительства Ленинградской области»</w:t>
      </w:r>
    </w:p>
    <w:p>
      <w:pPr>
        <w:pStyle w:val="Style3"/>
        <w:widowControl w:val="0"/>
        <w:keepNext w:val="0"/>
        <w:keepLines w:val="0"/>
        <w:shd w:val="clear" w:color="auto" w:fill="auto"/>
        <w:bidi w:val="0"/>
        <w:jc w:val="left"/>
        <w:spacing w:before="0" w:after="0" w:line="326" w:lineRule="exact"/>
        <w:ind w:left="540" w:right="0" w:firstLine="0"/>
      </w:pPr>
      <w:r>
        <w:rPr>
          <w:lang w:val="ru-RU" w:eastAsia="ru-RU" w:bidi="ru-RU"/>
          <w:sz w:val="24"/>
          <w:szCs w:val="24"/>
          <w:w w:val="100"/>
          <w:spacing w:val="0"/>
          <w:color w:val="000000"/>
          <w:position w:val="0"/>
        </w:rPr>
        <w:t>ул. Некрасова, д. 14,</w:t>
      </w:r>
    </w:p>
    <w:p>
      <w:pPr>
        <w:pStyle w:val="Style3"/>
        <w:widowControl w:val="0"/>
        <w:keepNext w:val="0"/>
        <w:keepLines w:val="0"/>
        <w:shd w:val="clear" w:color="auto" w:fill="auto"/>
        <w:bidi w:val="0"/>
        <w:jc w:val="left"/>
        <w:spacing w:before="0" w:after="240" w:line="322" w:lineRule="exact"/>
        <w:ind w:left="40" w:right="2240" w:firstLine="0"/>
      </w:pPr>
      <w:r>
        <w:rPr>
          <w:lang w:val="ru-RU" w:eastAsia="ru-RU" w:bidi="ru-RU"/>
          <w:sz w:val="24"/>
          <w:szCs w:val="24"/>
          <w:w w:val="100"/>
          <w:spacing w:val="0"/>
          <w:color w:val="000000"/>
          <w:position w:val="0"/>
        </w:rPr>
        <w:t xml:space="preserve">Санкт-Петербург, 191014 тел.: (812)2734043 </w:t>
      </w:r>
      <w:r>
        <w:rPr>
          <w:lang w:val="en-US" w:eastAsia="en-US" w:bidi="en-US"/>
          <w:sz w:val="24"/>
          <w:szCs w:val="24"/>
          <w:w w:val="100"/>
          <w:spacing w:val="0"/>
          <w:color w:val="000000"/>
          <w:position w:val="0"/>
        </w:rPr>
        <w:t xml:space="preserve">e-mail: </w:t>
      </w:r>
      <w:r>
        <w:fldChar w:fldCharType="begin"/>
      </w:r>
      <w:r>
        <w:rPr>
          <w:color w:val="000000"/>
        </w:rPr>
        <w:instrText> HYPERLINK "mailto:uslo47@yandex.ru" </w:instrText>
      </w:r>
      <w:r>
        <w:fldChar w:fldCharType="separate"/>
      </w:r>
      <w:r>
        <w:rPr>
          <w:rStyle w:val="Hyperlink"/>
          <w:lang w:val="en-US" w:eastAsia="en-US" w:bidi="en-US"/>
          <w:sz w:val="24"/>
          <w:szCs w:val="24"/>
          <w:w w:val="100"/>
          <w:spacing w:val="0"/>
          <w:position w:val="0"/>
        </w:rPr>
        <w:t>uslo47@yandex.ru</w:t>
      </w:r>
      <w:r>
        <w:fldChar w:fldCharType="end"/>
      </w:r>
    </w:p>
    <w:p>
      <w:pPr>
        <w:pStyle w:val="Style3"/>
        <w:widowControl w:val="0"/>
        <w:keepNext w:val="0"/>
        <w:keepLines w:val="0"/>
        <w:shd w:val="clear" w:color="auto" w:fill="auto"/>
        <w:bidi w:val="0"/>
        <w:jc w:val="left"/>
        <w:spacing w:before="0" w:after="0" w:line="322" w:lineRule="exact"/>
        <w:ind w:left="4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line="322" w:lineRule="exact"/>
        <w:ind w:left="40" w:right="260" w:firstLine="500"/>
      </w:pPr>
      <w:r>
        <w:rPr>
          <w:lang w:val="ru-RU" w:eastAsia="ru-RU" w:bidi="ru-RU"/>
          <w:sz w:val="24"/>
          <w:szCs w:val="24"/>
          <w:w w:val="100"/>
          <w:spacing w:val="0"/>
          <w:color w:val="000000"/>
          <w:position w:val="0"/>
        </w:rPr>
        <w:t>Комитет государственного заказа Ленинградской области ул. Смольного, д. 3, лит. А, Санкт-Петербург, 191124</w:t>
      </w:r>
    </w:p>
    <w:p>
      <w:pPr>
        <w:pStyle w:val="Style3"/>
        <w:widowControl w:val="0"/>
        <w:keepNext w:val="0"/>
        <w:keepLines w:val="0"/>
        <w:shd w:val="clear" w:color="auto" w:fill="auto"/>
        <w:bidi w:val="0"/>
        <w:jc w:val="left"/>
        <w:spacing w:before="0" w:after="236" w:line="317" w:lineRule="exact"/>
        <w:ind w:left="40" w:right="2240" w:firstLine="0"/>
      </w:pPr>
      <w:r>
        <w:rPr>
          <w:lang w:val="ru-RU" w:eastAsia="ru-RU" w:bidi="ru-RU"/>
          <w:sz w:val="24"/>
          <w:szCs w:val="24"/>
          <w:w w:val="100"/>
          <w:spacing w:val="0"/>
          <w:color w:val="000000"/>
          <w:position w:val="0"/>
        </w:rPr>
        <w:t xml:space="preserve">тел.: (812) 4563735 факс: (812)5771426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pStyle w:val="Style3"/>
        <w:widowControl w:val="0"/>
        <w:keepNext w:val="0"/>
        <w:keepLines w:val="0"/>
        <w:shd w:val="clear" w:color="auto" w:fill="auto"/>
        <w:bidi w:val="0"/>
        <w:jc w:val="left"/>
        <w:spacing w:before="0" w:after="0" w:line="322" w:lineRule="exact"/>
        <w:ind w:left="54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0" w:line="322" w:lineRule="exact"/>
        <w:ind w:left="540" w:right="0" w:firstLine="0"/>
      </w:pPr>
      <w:r>
        <w:rPr>
          <w:lang w:val="ru-RU" w:eastAsia="ru-RU" w:bidi="ru-RU"/>
          <w:sz w:val="24"/>
          <w:szCs w:val="24"/>
          <w:w w:val="100"/>
          <w:spacing w:val="0"/>
          <w:color w:val="000000"/>
          <w:position w:val="0"/>
        </w:rPr>
        <w:t>ООО Институт «Новгородпроект»</w:t>
      </w:r>
    </w:p>
    <w:p>
      <w:pPr>
        <w:pStyle w:val="Style3"/>
        <w:widowControl w:val="0"/>
        <w:keepNext w:val="0"/>
        <w:keepLines w:val="0"/>
        <w:shd w:val="clear" w:color="auto" w:fill="auto"/>
        <w:bidi w:val="0"/>
        <w:jc w:val="left"/>
        <w:spacing w:before="0" w:after="0" w:line="322" w:lineRule="exact"/>
        <w:ind w:left="540" w:right="260" w:firstLine="0"/>
      </w:pPr>
      <w:r>
        <w:rPr>
          <w:lang w:val="ru-RU" w:eastAsia="ru-RU" w:bidi="ru-RU"/>
          <w:sz w:val="24"/>
          <w:szCs w:val="24"/>
          <w:w w:val="100"/>
          <w:spacing w:val="0"/>
          <w:color w:val="000000"/>
          <w:position w:val="0"/>
        </w:rPr>
        <w:t>Ул. Прусская, д. 22, Великий Новгород, 173015,</w:t>
      </w:r>
    </w:p>
    <w:p>
      <w:pPr>
        <w:pStyle w:val="Style3"/>
        <w:widowControl w:val="0"/>
        <w:keepNext w:val="0"/>
        <w:keepLines w:val="0"/>
        <w:shd w:val="clear" w:color="auto" w:fill="auto"/>
        <w:bidi w:val="0"/>
        <w:jc w:val="left"/>
        <w:spacing w:before="0" w:after="305" w:line="322" w:lineRule="exact"/>
        <w:ind w:left="540" w:right="260" w:firstLine="0"/>
      </w:pPr>
      <w:r>
        <w:rPr>
          <w:lang w:val="ru-RU" w:eastAsia="ru-RU" w:bidi="ru-RU"/>
          <w:sz w:val="24"/>
          <w:szCs w:val="24"/>
          <w:w w:val="100"/>
          <w:spacing w:val="0"/>
          <w:color w:val="000000"/>
          <w:position w:val="0"/>
        </w:rPr>
        <w:t xml:space="preserve">тел.: (921)7054612 </w:t>
      </w:r>
      <w:r>
        <w:rPr>
          <w:lang w:val="en-US" w:eastAsia="en-US" w:bidi="en-US"/>
          <w:sz w:val="24"/>
          <w:szCs w:val="24"/>
          <w:w w:val="100"/>
          <w:spacing w:val="0"/>
          <w:color w:val="000000"/>
          <w:position w:val="0"/>
        </w:rPr>
        <w:t xml:space="preserve">e-mail: </w:t>
      </w:r>
      <w:r>
        <w:fldChar w:fldCharType="begin"/>
      </w:r>
      <w:r>
        <w:rPr>
          <w:color w:val="000000"/>
        </w:rPr>
        <w:instrText> HYPERLINK "mailto:sga@np53.ru" </w:instrText>
      </w:r>
      <w:r>
        <w:fldChar w:fldCharType="separate"/>
      </w:r>
      <w:r>
        <w:rPr>
          <w:rStyle w:val="Hyperlink"/>
          <w:lang w:val="en-US" w:eastAsia="en-US" w:bidi="en-US"/>
          <w:sz w:val="24"/>
          <w:szCs w:val="24"/>
          <w:w w:val="100"/>
          <w:spacing w:val="0"/>
          <w:position w:val="0"/>
        </w:rPr>
        <w:t>sga@np53.ru</w:t>
      </w:r>
      <w:r>
        <w:fldChar w:fldCharType="end"/>
      </w:r>
    </w:p>
    <w:p>
      <w:pPr>
        <w:pStyle w:val="Style3"/>
        <w:widowControl w:val="0"/>
        <w:keepNext w:val="0"/>
        <w:keepLines w:val="0"/>
        <w:shd w:val="clear" w:color="auto" w:fill="auto"/>
        <w:bidi w:val="0"/>
        <w:jc w:val="left"/>
        <w:spacing w:before="0" w:after="367" w:line="240" w:lineRule="exact"/>
        <w:ind w:left="540" w:right="0" w:firstLine="0"/>
      </w:pPr>
      <w:r>
        <w:rPr>
          <w:lang w:val="ru-RU" w:eastAsia="ru-RU" w:bidi="ru-RU"/>
          <w:sz w:val="24"/>
          <w:szCs w:val="24"/>
          <w:w w:val="100"/>
          <w:spacing w:val="0"/>
          <w:color w:val="000000"/>
          <w:position w:val="0"/>
        </w:rPr>
        <w:t>извещение № 0145200000417001722</w:t>
      </w:r>
    </w:p>
    <w:p>
      <w:pPr>
        <w:pStyle w:val="Style3"/>
        <w:widowControl w:val="0"/>
        <w:keepNext w:val="0"/>
        <w:keepLines w:val="0"/>
        <w:shd w:val="clear" w:color="auto" w:fill="auto"/>
        <w:bidi w:val="0"/>
        <w:jc w:val="left"/>
        <w:spacing w:before="0" w:after="0" w:line="240" w:lineRule="exact"/>
        <w:ind w:left="40" w:right="0" w:firstLine="0"/>
        <w:sectPr>
          <w:footnotePr>
            <w:pos w:val="pageBottom"/>
            <w:numFmt w:val="decimal"/>
            <w:numRestart w:val="continuous"/>
          </w:footnotePr>
          <w:type w:val="continuous"/>
          <w:pgSz w:w="11906" w:h="16838"/>
          <w:pgMar w:top="454" w:left="5111" w:right="781" w:bottom="454" w:header="0" w:footer="3" w:gutter="0"/>
          <w:rtlGutter w:val="0"/>
          <w:cols w:space="720"/>
          <w:noEndnote/>
          <w:docGrid w:linePitch="360"/>
        </w:sectPr>
      </w:pPr>
      <w:r>
        <w:rPr>
          <w:lang w:val="ru-RU" w:eastAsia="ru-RU" w:bidi="ru-RU"/>
          <w:sz w:val="24"/>
          <w:szCs w:val="24"/>
          <w:w w:val="100"/>
          <w:spacing w:val="0"/>
          <w:color w:val="000000"/>
          <w:position w:val="0"/>
        </w:rPr>
        <w:t>РЕШЕНИЕ</w:t>
      </w:r>
    </w:p>
    <w:p>
      <w:pPr>
        <w:widowControl w:val="0"/>
        <w:spacing w:line="137"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322" w:lineRule="exact"/>
        <w:ind w:left="0" w:right="0" w:firstLine="0"/>
        <w:sectPr>
          <w:type w:val="continuous"/>
          <w:pgSz w:w="11906" w:h="16838"/>
          <w:pgMar w:top="454" w:left="3277" w:right="3243" w:bottom="454" w:header="0" w:footer="3" w:gutter="0"/>
          <w:rtlGutter w:val="0"/>
          <w:cols w:space="720"/>
          <w:noEndnote/>
          <w:docGrid w:linePitch="360"/>
        </w:sectPr>
      </w:pPr>
      <w:r>
        <w:rPr>
          <w:lang w:val="ru-RU" w:eastAsia="ru-RU" w:bidi="ru-RU"/>
          <w:sz w:val="24"/>
          <w:szCs w:val="24"/>
          <w:w w:val="100"/>
          <w:spacing w:val="0"/>
          <w:color w:val="000000"/>
          <w:position w:val="0"/>
        </w:rPr>
        <w:t>Комиссии Ленинградского УФАС России по контролю в сфере закупок по делу № 1379-03-10248-РЗ/17</w:t>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7" w:wrap="around" w:hAnchor="margin" w:x="316" w:y="10941"/>
        <w:widowControl w:val="0"/>
        <w:keepNext w:val="0"/>
        <w:keepLines w:val="0"/>
        <w:shd w:val="clear" w:color="auto" w:fill="auto"/>
        <w:bidi w:val="0"/>
        <w:jc w:val="left"/>
        <w:spacing w:before="0" w:after="0" w:line="230" w:lineRule="exact"/>
        <w:ind w:left="100" w:right="0" w:firstLine="0"/>
      </w:pPr>
      <w:r>
        <w:rPr>
          <w:rStyle w:val="CharStyle5"/>
          <w:spacing w:val="0"/>
        </w:rPr>
        <w:t>13 ноября 2017 г.</w:t>
      </w:r>
    </w:p>
    <w:p>
      <w:pPr>
        <w:pStyle w:val="Style3"/>
        <w:widowControl w:val="0"/>
        <w:keepNext w:val="0"/>
        <w:keepLines w:val="0"/>
        <w:shd w:val="clear" w:color="auto" w:fill="auto"/>
        <w:bidi w:val="0"/>
        <w:jc w:val="right"/>
        <w:spacing w:before="0" w:after="372" w:line="240" w:lineRule="exact"/>
        <w:ind w:left="0" w:right="0" w:firstLine="0"/>
      </w:pPr>
      <w:r>
        <w:rPr>
          <w:lang w:val="ru-RU" w:eastAsia="ru-RU" w:bidi="ru-RU"/>
          <w:sz w:val="24"/>
          <w:szCs w:val="24"/>
          <w:w w:val="100"/>
          <w:spacing w:val="0"/>
          <w:color w:val="000000"/>
          <w:position w:val="0"/>
        </w:rPr>
        <w:t>Санкт-Петербург</w:t>
      </w:r>
    </w:p>
    <w:p>
      <w:pPr>
        <w:pStyle w:val="Style3"/>
        <w:widowControl w:val="0"/>
        <w:keepNext w:val="0"/>
        <w:keepLines w:val="0"/>
        <w:shd w:val="clear" w:color="auto" w:fill="auto"/>
        <w:bidi w:val="0"/>
        <w:jc w:val="left"/>
        <w:spacing w:before="0" w:after="5" w:line="240" w:lineRule="exact"/>
        <w:ind w:left="720" w:right="0" w:firstLine="0"/>
      </w:pPr>
      <w:r>
        <w:rPr>
          <w:lang w:val="ru-RU" w:eastAsia="ru-RU" w:bidi="ru-RU"/>
          <w:sz w:val="24"/>
          <w:szCs w:val="24"/>
          <w:w w:val="100"/>
          <w:spacing w:val="0"/>
          <w:color w:val="000000"/>
          <w:position w:val="0"/>
        </w:rPr>
        <w:t>Комиссия Ленинградского УФАС России по контролю в сфере закупок в</w:t>
      </w:r>
    </w:p>
    <w:p>
      <w:pPr>
        <w:pStyle w:val="Style3"/>
        <w:widowControl w:val="0"/>
        <w:keepNext w:val="0"/>
        <w:keepLines w:val="0"/>
        <w:shd w:val="clear" w:color="auto" w:fill="auto"/>
        <w:bidi w:val="0"/>
        <w:jc w:val="left"/>
        <w:spacing w:before="0" w:after="77" w:line="240" w:lineRule="exact"/>
        <w:ind w:left="0" w:right="0" w:firstLine="0"/>
      </w:pPr>
      <w:r>
        <w:rPr>
          <w:lang w:val="ru-RU" w:eastAsia="ru-RU" w:bidi="ru-RU"/>
          <w:sz w:val="24"/>
          <w:szCs w:val="24"/>
          <w:w w:val="100"/>
          <w:spacing w:val="0"/>
          <w:color w:val="000000"/>
          <w:position w:val="0"/>
        </w:rPr>
        <w:t>составе:</w:t>
      </w:r>
    </w:p>
    <w:p>
      <w:pPr>
        <w:pStyle w:val="Style3"/>
        <w:widowControl w:val="0"/>
        <w:keepNext w:val="0"/>
        <w:keepLines w:val="0"/>
        <w:shd w:val="clear" w:color="auto" w:fill="auto"/>
        <w:bidi w:val="0"/>
        <w:jc w:val="left"/>
        <w:spacing w:before="0" w:after="67" w:line="240" w:lineRule="exact"/>
        <w:ind w:left="720" w:right="0" w:firstLine="0"/>
      </w:pPr>
      <w:r>
        <w:rPr>
          <w:lang w:val="ru-RU" w:eastAsia="ru-RU" w:bidi="ru-RU"/>
          <w:sz w:val="24"/>
          <w:szCs w:val="24"/>
          <w:w w:val="100"/>
          <w:spacing w:val="0"/>
          <w:color w:val="000000"/>
          <w:position w:val="0"/>
        </w:rPr>
        <w:t>Сараева Дмитрия Александровича - начальника отдела контроля закупок,</w:t>
      </w:r>
    </w:p>
    <w:p>
      <w:pPr>
        <w:pStyle w:val="Style3"/>
        <w:widowControl w:val="0"/>
        <w:keepNext w:val="0"/>
        <w:keepLines w:val="0"/>
        <w:shd w:val="clear" w:color="auto" w:fill="auto"/>
        <w:bidi w:val="0"/>
        <w:jc w:val="left"/>
        <w:spacing w:before="0" w:after="77" w:line="240" w:lineRule="exact"/>
        <w:ind w:left="0" w:right="0" w:firstLine="0"/>
      </w:pPr>
      <w:r>
        <w:rPr>
          <w:lang w:val="ru-RU" w:eastAsia="ru-RU" w:bidi="ru-RU"/>
          <w:sz w:val="24"/>
          <w:szCs w:val="24"/>
          <w:w w:val="100"/>
          <w:spacing w:val="0"/>
          <w:color w:val="000000"/>
          <w:position w:val="0"/>
        </w:rPr>
        <w:t>председателя Комиссии;</w:t>
      </w:r>
    </w:p>
    <w:p>
      <w:pPr>
        <w:pStyle w:val="Style3"/>
        <w:widowControl w:val="0"/>
        <w:keepNext w:val="0"/>
        <w:keepLines w:val="0"/>
        <w:shd w:val="clear" w:color="auto" w:fill="auto"/>
        <w:bidi w:val="0"/>
        <w:jc w:val="left"/>
        <w:spacing w:before="0" w:after="67" w:line="240" w:lineRule="exact"/>
        <w:ind w:left="720" w:right="0" w:firstLine="0"/>
      </w:pPr>
      <w:r>
        <w:rPr>
          <w:lang w:val="ru-RU" w:eastAsia="ru-RU" w:bidi="ru-RU"/>
          <w:sz w:val="24"/>
          <w:szCs w:val="24"/>
          <w:w w:val="100"/>
          <w:spacing w:val="0"/>
          <w:color w:val="000000"/>
          <w:position w:val="0"/>
        </w:rPr>
        <w:t>Пашедко анны Дмитриевны - главного специалиста-эксперта отдела</w:t>
      </w:r>
    </w:p>
    <w:p>
      <w:pPr>
        <w:pStyle w:val="Style3"/>
        <w:widowControl w:val="0"/>
        <w:keepNext w:val="0"/>
        <w:keepLines w:val="0"/>
        <w:shd w:val="clear" w:color="auto" w:fill="auto"/>
        <w:bidi w:val="0"/>
        <w:jc w:val="left"/>
        <w:spacing w:before="0" w:after="77" w:line="240" w:lineRule="exact"/>
        <w:ind w:left="0" w:right="0" w:firstLine="0"/>
      </w:pPr>
      <w:r>
        <w:rPr>
          <w:lang w:val="ru-RU" w:eastAsia="ru-RU" w:bidi="ru-RU"/>
          <w:sz w:val="24"/>
          <w:szCs w:val="24"/>
          <w:w w:val="100"/>
          <w:spacing w:val="0"/>
          <w:color w:val="000000"/>
          <w:position w:val="0"/>
        </w:rPr>
        <w:t>контроля закупок, члена Комиссии,</w:t>
      </w:r>
    </w:p>
    <w:p>
      <w:pPr>
        <w:pStyle w:val="Style3"/>
        <w:widowControl w:val="0"/>
        <w:keepNext w:val="0"/>
        <w:keepLines w:val="0"/>
        <w:shd w:val="clear" w:color="auto" w:fill="auto"/>
        <w:bidi w:val="0"/>
        <w:jc w:val="left"/>
        <w:spacing w:before="0" w:after="62" w:line="240" w:lineRule="exact"/>
        <w:ind w:left="720" w:right="0" w:firstLine="0"/>
      </w:pPr>
      <w:r>
        <w:rPr>
          <w:lang w:val="ru-RU" w:eastAsia="ru-RU" w:bidi="ru-RU"/>
          <w:sz w:val="24"/>
          <w:szCs w:val="24"/>
          <w:w w:val="100"/>
          <w:spacing w:val="0"/>
          <w:color w:val="000000"/>
          <w:position w:val="0"/>
        </w:rPr>
        <w:t>Канивец Елены Анатольевны - специалиста-эксперта отдела контроля</w:t>
      </w:r>
    </w:p>
    <w:p>
      <w:pPr>
        <w:pStyle w:val="Style3"/>
        <w:widowControl w:val="0"/>
        <w:keepNext w:val="0"/>
        <w:keepLines w:val="0"/>
        <w:shd w:val="clear" w:color="auto" w:fill="auto"/>
        <w:bidi w:val="0"/>
        <w:jc w:val="left"/>
        <w:spacing w:before="0" w:after="62" w:line="240" w:lineRule="exact"/>
        <w:ind w:left="0" w:right="0" w:firstLine="0"/>
      </w:pPr>
      <w:r>
        <w:rPr>
          <w:lang w:val="ru-RU" w:eastAsia="ru-RU" w:bidi="ru-RU"/>
          <w:sz w:val="24"/>
          <w:szCs w:val="24"/>
          <w:w w:val="100"/>
          <w:spacing w:val="0"/>
          <w:color w:val="000000"/>
          <w:position w:val="0"/>
        </w:rPr>
        <w:t>закупок, члена Комиссии,</w:t>
      </w:r>
    </w:p>
    <w:p>
      <w:pPr>
        <w:pStyle w:val="Style3"/>
        <w:widowControl w:val="0"/>
        <w:keepNext w:val="0"/>
        <w:keepLines w:val="0"/>
        <w:shd w:val="clear" w:color="auto" w:fill="auto"/>
        <w:bidi w:val="0"/>
        <w:jc w:val="left"/>
        <w:spacing w:before="0" w:after="1002" w:line="240" w:lineRule="exact"/>
        <w:ind w:left="720" w:right="0" w:firstLine="0"/>
      </w:pPr>
      <w:r>
        <w:rPr>
          <w:lang w:val="ru-RU" w:eastAsia="ru-RU" w:bidi="ru-RU"/>
          <w:sz w:val="24"/>
          <w:szCs w:val="24"/>
          <w:w w:val="100"/>
          <w:spacing w:val="0"/>
          <w:color w:val="000000"/>
          <w:position w:val="0"/>
        </w:rPr>
        <w:t>в присутствии представителей:</w:t>
      </w:r>
    </w:p>
    <w:p>
      <w:pPr>
        <w:pStyle w:val="Style6"/>
        <w:widowControl w:val="0"/>
        <w:keepNext/>
        <w:keepLines/>
        <w:shd w:val="clear" w:color="auto" w:fill="auto"/>
        <w:bidi w:val="0"/>
        <w:spacing w:before="0" w:after="0" w:line="280" w:lineRule="exact"/>
        <w:ind w:left="0" w:right="0" w:firstLine="0"/>
      </w:pPr>
      <w:bookmarkStart w:id="0" w:name="bookmark0"/>
      <w:r>
        <w:rPr>
          <w:lang w:val="ru-RU" w:eastAsia="ru-RU" w:bidi="ru-RU"/>
          <w:w w:val="100"/>
          <w:color w:val="000000"/>
          <w:position w:val="0"/>
        </w:rPr>
        <w:t>079707</w:t>
      </w:r>
      <w:bookmarkEnd w:id="0"/>
      <w:r>
        <w:br w:type="page"/>
      </w:r>
    </w:p>
    <w:p>
      <w:pPr>
        <w:pStyle w:val="Style3"/>
        <w:tabs>
          <w:tab w:leader="none" w:pos="2463" w:val="center"/>
          <w:tab w:leader="none" w:pos="3303" w:val="left"/>
          <w:tab w:leader="none" w:pos="9913"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ГКУ «Управление строительства Ленинградской области» (далее — Заказчик):</w:t>
        <w:tab/>
        <w:t>Меньшова</w:t>
        <w:tab/>
        <w:t>Владимира</w:t>
        <w:tab/>
        <w:t>Анатольевича, Полубинской Яны</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spacing w:val="0"/>
          <w:color w:val="000000"/>
          <w:position w:val="0"/>
        </w:rPr>
        <w:t>Владимировны,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Базановой Яны Игоревны,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отсутствие представителя ООО Институт «Новгородпроект» (далее - Заявитель), надлежащим образом уведомленном о месте и времени заседания Комиссии,</w:t>
      </w:r>
    </w:p>
    <w:p>
      <w:pPr>
        <w:pStyle w:val="Style3"/>
        <w:widowControl w:val="0"/>
        <w:keepNext w:val="0"/>
        <w:keepLines w:val="0"/>
        <w:shd w:val="clear" w:color="auto" w:fill="auto"/>
        <w:bidi w:val="0"/>
        <w:jc w:val="both"/>
        <w:spacing w:before="0" w:after="305" w:line="322" w:lineRule="exact"/>
        <w:ind w:left="20" w:right="20" w:firstLine="700"/>
      </w:pPr>
      <w:r>
        <w:rPr>
          <w:lang w:val="ru-RU" w:eastAsia="ru-RU" w:bidi="ru-RU"/>
          <w:sz w:val="24"/>
          <w:szCs w:val="24"/>
          <w:w w:val="100"/>
          <w:spacing w:val="0"/>
          <w:color w:val="000000"/>
          <w:position w:val="0"/>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Положением о территориальном органе Федеральной антимонопольной службы, утвержденным приказом ФАС России от 23.07.2015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131" w:line="240" w:lineRule="exact"/>
        <w:ind w:left="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10248 от 03.11.2017) на действия заказчика при проведении открытого конкурса на право заключения контракта на выполнение работ по проектированию демонтажа недостроенного здания акушерского корпуса, расположенного на территории ГБУЗ ЛО "Волосовская межрайонная больница" по адресу: г. Волосово, ул. Хрустицкого, д.76 (далее - конкурс).</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конкурса, конкурсная документация в редакции № 3 размещены 25.10.2017 на официальном сайте единой информационной системы в сфере закупок в информационно-телекоммуникационной сети «Интернет»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муниципального контракта: 2 410 000,00</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руб.</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Областной бюджет Ленинградской области.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установленный в конкурсной документации порядок оценки по показателям «опыт участника по успешному выполнению работ сопоставимого характера и объема»,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не соответствует Закону о контрактной системе; проект контракта не содержит срока его действия и срока выполнения работ; конкурсная документация содержит порядок разъяснения конкурсной документации, который не соответствует части 7 статьи 50 Закона о контрактной системе; пункт 8.2 проекта контракта в части срока действия банковской гарантии нарушает положение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Более подробно позиция Заявителя изложена в жалобе, файл с которой размещен на официальном сайте.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Представители Уполномоченного органа, Заказчика возражали против доводов Заявителя и просили признать жалобу необоснованной.</w:t>
      </w:r>
    </w:p>
    <w:p>
      <w:pPr>
        <w:pStyle w:val="Style3"/>
        <w:widowControl w:val="0"/>
        <w:keepNext w:val="0"/>
        <w:keepLines w:val="0"/>
        <w:shd w:val="clear" w:color="auto" w:fill="auto"/>
        <w:bidi w:val="0"/>
        <w:jc w:val="both"/>
        <w:spacing w:before="0" w:after="0" w:line="322" w:lineRule="exact"/>
        <w:ind w:left="2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300" w:line="317" w:lineRule="exact"/>
        <w:ind w:left="20" w:right="20" w:firstLine="720"/>
      </w:pPr>
      <w:r>
        <w:rPr>
          <w:lang w:val="ru-RU" w:eastAsia="ru-RU" w:bidi="ru-RU"/>
          <w:sz w:val="24"/>
          <w:szCs w:val="24"/>
          <w:w w:val="100"/>
          <w:spacing w:val="0"/>
          <w:color w:val="000000"/>
          <w:position w:val="0"/>
        </w:rPr>
        <w:t>Рассмотрев представленные документы, заслушав доводы представителей сторон,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Частью 2 рассматриваемой статьи определено,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Согласно части 1 статьи 48 Закона о контрактной системе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3"/>
        <w:numPr>
          <w:ilvl w:val="0"/>
          <w:numId w:val="1"/>
        </w:numPr>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 xml:space="preserve"> цена контракта;</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пунктом 4 Правил для оценки заявок (предложений) заказчик устанавливает в документации о закупке следующие критерии оценки: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а) стоимостные критерии оценки, в том числе цена контракта;</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б) нестоимостные критерии оценки:</w:t>
      </w:r>
    </w:p>
    <w:p>
      <w:pPr>
        <w:pStyle w:val="Style3"/>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Кроме того, пунктом 11 правил установлено, что для оценки заявок (предложений) по каждому критерию оценки используется 100-бальная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w:t>
      </w:r>
      <w:r>
        <w:rPr>
          <w:rStyle w:val="CharStyle8"/>
        </w:rPr>
        <w:t xml:space="preserve">будет производиться оценка, и форма расчета количества баллов, присуждаемых </w:t>
      </w:r>
      <w:r>
        <w:rPr>
          <w:lang w:val="ru-RU" w:eastAsia="ru-RU" w:bidi="ru-RU"/>
          <w:sz w:val="24"/>
          <w:szCs w:val="24"/>
          <w:w w:val="100"/>
          <w:spacing w:val="0"/>
          <w:color w:val="000000"/>
          <w:position w:val="0"/>
        </w:rPr>
        <w:t>по таким показателям, или шкала предельных величин значимости показателей оценки, устанавливающая интервалы их изменений, или порядок определения. 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«опыт участника по успешной поставке товара, выполнению работ, оказанию услуг сопоставимого характера и объема» критерия «квалификация участника закупки», за исключением случая, предусмотренного пунктом 30 Правил. При этом значимость показателя должна составлять не менее 50 процентов значимости всех нестоимостных критериев оценки.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В соответствии с пунктом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Иными словами, при представлении определенных сведений участникам закупки и конкурсной комиссии должно быть четко понятно, за какие сведения и какие баллы ими будут присвоены по установленным показателям.</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Учитывая вышеприведенное, порядок оценки, в целях выявления лучшего условия исполнения контракта, документация о закупке должен включать в себя:</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 закупки в своих заявках для получения оценки по нестоимостным критериям;</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(показателям критерия;</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 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 инструкцию по заполнению заявки, позволяющую определить какие именно сведения подлежат описанию и предоставлению участниками закупки для оценки конкурсной комиссией.</w:t>
      </w:r>
    </w:p>
    <w:p>
      <w:pPr>
        <w:pStyle w:val="Style9"/>
        <w:widowControl w:val="0"/>
        <w:keepNext/>
        <w:keepLines/>
        <w:shd w:val="clear" w:color="auto" w:fill="auto"/>
        <w:bidi w:val="0"/>
        <w:spacing w:before="0" w:after="0"/>
        <w:ind w:left="140" w:right="20" w:firstLine="720"/>
      </w:pPr>
      <w:bookmarkStart w:id="1" w:name="bookmark1"/>
      <w:r>
        <w:rPr>
          <w:lang w:val="ru-RU" w:eastAsia="ru-RU" w:bidi="ru-RU"/>
          <w:sz w:val="24"/>
          <w:szCs w:val="24"/>
          <w:w w:val="100"/>
          <w:spacing w:val="0"/>
          <w:color w:val="000000"/>
          <w:position w:val="0"/>
        </w:rPr>
        <w:t xml:space="preserve">Согласно пункту 13.8 раздела 2 общей части конкурной документации при </w:t>
      </w:r>
      <w:r>
        <w:rPr>
          <w:rStyle w:val="CharStyle11"/>
        </w:rPr>
        <w:t>оценке заявок применяются следующие критерии:</w:t>
      </w:r>
      <w:bookmarkEnd w:id="1"/>
    </w:p>
    <w:p>
      <w:pPr>
        <w:pStyle w:val="Style9"/>
        <w:numPr>
          <w:ilvl w:val="0"/>
          <w:numId w:val="5"/>
        </w:numPr>
        <w:tabs>
          <w:tab w:leader="none" w:pos="1494" w:val="left"/>
        </w:tabs>
        <w:widowControl w:val="0"/>
        <w:keepNext/>
        <w:keepLines/>
        <w:shd w:val="clear" w:color="auto" w:fill="auto"/>
        <w:bidi w:val="0"/>
        <w:spacing w:before="0" w:after="0" w:line="240" w:lineRule="exact"/>
        <w:ind w:left="140" w:right="0" w:firstLine="720"/>
      </w:pPr>
      <w:bookmarkStart w:id="2" w:name="bookmark2"/>
      <w:r>
        <w:rPr>
          <w:lang w:val="ru-RU" w:eastAsia="ru-RU" w:bidi="ru-RU"/>
          <w:sz w:val="24"/>
          <w:szCs w:val="24"/>
          <w:w w:val="100"/>
          <w:spacing w:val="0"/>
          <w:color w:val="000000"/>
          <w:position w:val="0"/>
        </w:rPr>
        <w:t>Цена контракта. Значимость критерия - 60%;</w:t>
      </w:r>
      <w:bookmarkEnd w:id="2"/>
    </w:p>
    <w:p>
      <w:pPr>
        <w:pStyle w:val="Style3"/>
        <w:numPr>
          <w:ilvl w:val="0"/>
          <w:numId w:val="5"/>
        </w:numPr>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 Значимость критерия - 40%.</w:t>
      </w:r>
    </w:p>
    <w:p>
      <w:pPr>
        <w:pStyle w:val="Style3"/>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В качестве показателя нестоимостного критерия оценки Квалификация участника закупки предусмотрены следующие показатели, раскрывающие содержание критерия оценки и учитывающие особенности оценки по критерию:</w:t>
      </w:r>
    </w:p>
    <w:p>
      <w:pPr>
        <w:pStyle w:val="Style3"/>
        <w:numPr>
          <w:ilvl w:val="0"/>
          <w:numId w:val="7"/>
        </w:numPr>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 xml:space="preserve"> опыт участника по успешной поставке товара, выполнению работ, оказанию услуг сопоставимого характера и объема (значимость показателя 40%);</w:t>
      </w:r>
    </w:p>
    <w:p>
      <w:pPr>
        <w:pStyle w:val="Style3"/>
        <w:numPr>
          <w:ilvl w:val="0"/>
          <w:numId w:val="7"/>
        </w:numPr>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 xml:space="preserve"> обеспеченность участника закупки трудовыми ресурсами (значимость показателя 30%);</w:t>
      </w:r>
    </w:p>
    <w:p>
      <w:pPr>
        <w:pStyle w:val="Style3"/>
        <w:numPr>
          <w:ilvl w:val="0"/>
          <w:numId w:val="7"/>
        </w:numPr>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 xml:space="preserve">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 (значимость показателя 30%).</w:t>
      </w:r>
    </w:p>
    <w:p>
      <w:pPr>
        <w:pStyle w:val="Style3"/>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Пунктами 13.11, 13.12 рассматриваемого раздела определен порядок оценка заявок по критерию «Квалификация участника закупки».</w:t>
      </w:r>
    </w:p>
    <w:p>
      <w:pPr>
        <w:pStyle w:val="Style3"/>
        <w:widowControl w:val="0"/>
        <w:keepNext w:val="0"/>
        <w:keepLines w:val="0"/>
        <w:shd w:val="clear" w:color="auto" w:fill="auto"/>
        <w:bidi w:val="0"/>
        <w:jc w:val="both"/>
        <w:spacing w:before="0" w:after="0" w:line="322" w:lineRule="exact"/>
        <w:ind w:left="140" w:right="20" w:firstLine="720"/>
      </w:pPr>
      <w:r>
        <w:rPr>
          <w:lang w:val="ru-RU" w:eastAsia="ru-RU" w:bidi="ru-RU"/>
          <w:sz w:val="24"/>
          <w:szCs w:val="24"/>
          <w:w w:val="100"/>
          <w:spacing w:val="0"/>
          <w:color w:val="000000"/>
          <w:position w:val="0"/>
        </w:rPr>
        <w:t>Присвоение баллов по показателям осуществляется на основании таблицы, содержащейся в пункте 13.11 рассматриваемого раздела:</w:t>
      </w:r>
    </w:p>
    <w:tbl>
      <w:tblPr>
        <w:tblOverlap w:val="never"/>
        <w:tblLayout w:type="fixed"/>
        <w:jc w:val="center"/>
      </w:tblPr>
      <w:tblGrid>
        <w:gridCol w:w="6638"/>
        <w:gridCol w:w="1714"/>
        <w:gridCol w:w="1699"/>
      </w:tblGrid>
      <w:tr>
        <w:trPr>
          <w:trHeight w:val="686" w:hRule="exact"/>
        </w:trPr>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Наименование показателя</w:t>
            </w:r>
          </w:p>
        </w:tc>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line="240" w:lineRule="exact"/>
              <w:ind w:left="0" w:right="0" w:firstLine="0"/>
            </w:pPr>
            <w:r>
              <w:rPr>
                <w:rStyle w:val="CharStyle12"/>
              </w:rPr>
              <w:t>Количество</w:t>
            </w:r>
          </w:p>
          <w:p>
            <w:pPr>
              <w:pStyle w:val="Style3"/>
              <w:framePr w:w="10051"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12"/>
              </w:rPr>
              <w:t>баллов</w:t>
            </w:r>
          </w:p>
        </w:tc>
        <w:tc>
          <w:tcPr>
            <w:shd w:val="clear" w:color="auto" w:fill="FFFFFF"/>
            <w:tcBorders>
              <w:left w:val="single" w:sz="4"/>
              <w:righ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both"/>
              <w:spacing w:before="0" w:after="0" w:line="326" w:lineRule="exact"/>
              <w:ind w:left="0" w:right="0" w:firstLine="0"/>
            </w:pPr>
            <w:r>
              <w:rPr>
                <w:rStyle w:val="CharStyle12"/>
              </w:rPr>
              <w:t>Значимость показателя %</w:t>
            </w:r>
          </w:p>
        </w:tc>
      </w:tr>
      <w:tr>
        <w:trPr>
          <w:trHeight w:val="648" w:hRule="exact"/>
        </w:trPr>
        <w:tc>
          <w:tcPr>
            <w:shd w:val="clear" w:color="auto" w:fill="FFFFFF"/>
            <w:gridSpan w:val="3"/>
            <w:tcBorders>
              <w:left w:val="single" w:sz="4"/>
              <w:righ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line="240" w:lineRule="exact"/>
              <w:ind w:left="0" w:right="0" w:firstLine="0"/>
            </w:pPr>
            <w:r>
              <w:rPr>
                <w:rStyle w:val="CharStyle12"/>
              </w:rPr>
              <w:t>Опыт участника по успешному выполнению работ сопоставимого характера и</w:t>
            </w:r>
          </w:p>
          <w:p>
            <w:pPr>
              <w:pStyle w:val="Style3"/>
              <w:framePr w:w="10051"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12"/>
              </w:rPr>
              <w:t>объема</w:t>
            </w:r>
          </w:p>
        </w:tc>
      </w:tr>
      <w:tr>
        <w:trPr>
          <w:trHeight w:val="653" w:hRule="exact"/>
        </w:trPr>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line="240" w:lineRule="exact"/>
              <w:ind w:left="0" w:right="0" w:firstLine="0"/>
            </w:pPr>
            <w:r>
              <w:rPr>
                <w:rStyle w:val="CharStyle12"/>
              </w:rPr>
              <w:t>600 % от начальной (максимальной) цены контракта</w:t>
            </w:r>
          </w:p>
          <w:p>
            <w:pPr>
              <w:pStyle w:val="Style3"/>
              <w:framePr w:w="10051"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12"/>
              </w:rPr>
              <w:t>и более</w:t>
            </w:r>
          </w:p>
        </w:tc>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100 баллов</w:t>
            </w:r>
          </w:p>
        </w:tc>
        <w:tc>
          <w:tcPr>
            <w:shd w:val="clear" w:color="auto" w:fill="FFFFFF"/>
            <w:tcBorders>
              <w:left w:val="single" w:sz="4"/>
              <w:righ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40</w:t>
            </w:r>
          </w:p>
        </w:tc>
      </w:tr>
      <w:tr>
        <w:trPr>
          <w:trHeight w:val="970" w:hRule="exact"/>
        </w:trPr>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2"/>
              </w:rPr>
              <w:t>450 % от начапьной (максимальной) цены контракта и более, но менее 600% от начальной (максимальной) цены контракта</w:t>
            </w:r>
          </w:p>
        </w:tc>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60 баллов</w:t>
            </w:r>
          </w:p>
        </w:tc>
        <w:tc>
          <w:tcPr>
            <w:shd w:val="clear" w:color="auto" w:fill="FFFFFF"/>
            <w:tcBorders>
              <w:left w:val="single" w:sz="4"/>
              <w:right w:val="single" w:sz="4"/>
            </w:tcBorders>
            <w:vAlign w:val="top"/>
          </w:tcPr>
          <w:p>
            <w:pPr>
              <w:framePr w:w="10051" w:wrap="notBeside" w:vAnchor="text" w:hAnchor="text" w:xAlign="center" w:y="1"/>
              <w:widowControl w:val="0"/>
              <w:rPr>
                <w:sz w:val="10"/>
                <w:szCs w:val="10"/>
              </w:rPr>
            </w:pPr>
          </w:p>
        </w:tc>
      </w:tr>
      <w:tr>
        <w:trPr>
          <w:trHeight w:val="970" w:hRule="exact"/>
        </w:trPr>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 xml:space="preserve">350 </w:t>
            </w:r>
            <w:r>
              <w:rPr>
                <w:rStyle w:val="CharStyle13"/>
              </w:rPr>
              <w:t>%</w:t>
            </w:r>
            <w:r>
              <w:rPr>
                <w:rStyle w:val="CharStyle12"/>
              </w:rPr>
              <w:t xml:space="preserve"> от начальной (максимальной) цены контракта и более, но менее 450% от начальной (максимальной) цены контракта</w:t>
            </w:r>
          </w:p>
        </w:tc>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35 баллов</w:t>
            </w:r>
          </w:p>
        </w:tc>
        <w:tc>
          <w:tcPr>
            <w:shd w:val="clear" w:color="auto" w:fill="FFFFFF"/>
            <w:tcBorders>
              <w:left w:val="single" w:sz="4"/>
              <w:right w:val="single" w:sz="4"/>
            </w:tcBorders>
            <w:vAlign w:val="top"/>
          </w:tcPr>
          <w:p>
            <w:pPr>
              <w:framePr w:w="10051"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250% от начальной (максимальной) цены контракта и более, но менее 350 % от начальной (максимальной) цены контракта</w:t>
            </w:r>
          </w:p>
        </w:tc>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25 баллов</w:t>
            </w:r>
          </w:p>
        </w:tc>
        <w:tc>
          <w:tcPr>
            <w:shd w:val="clear" w:color="auto" w:fill="FFFFFF"/>
            <w:tcBorders>
              <w:left w:val="single" w:sz="4"/>
              <w:right w:val="single" w:sz="4"/>
            </w:tcBorders>
            <w:vAlign w:val="top"/>
          </w:tcPr>
          <w:p>
            <w:pPr>
              <w:framePr w:w="10051" w:wrap="notBeside" w:vAnchor="text" w:hAnchor="text" w:xAlign="center" w:y="1"/>
              <w:widowControl w:val="0"/>
              <w:rPr>
                <w:sz w:val="10"/>
                <w:szCs w:val="10"/>
              </w:rPr>
            </w:pPr>
          </w:p>
        </w:tc>
      </w:tr>
      <w:tr>
        <w:trPr>
          <w:trHeight w:val="970" w:hRule="exact"/>
        </w:trPr>
        <w:tc>
          <w:tcPr>
            <w:shd w:val="clear" w:color="auto" w:fill="FFFFFF"/>
            <w:tcBorders>
              <w:left w:val="single" w:sz="4"/>
              <w:top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100% от начальной (максимальной) цены контракта и более, но менее 250 % от начальной (максимальной) цены контракта</w:t>
            </w:r>
          </w:p>
        </w:tc>
        <w:tc>
          <w:tcPr>
            <w:shd w:val="clear" w:color="auto" w:fill="FFFFFF"/>
            <w:tcBorders>
              <w:left w:val="single" w:sz="4"/>
              <w:top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10 баллов</w:t>
            </w:r>
          </w:p>
        </w:tc>
        <w:tc>
          <w:tcPr>
            <w:shd w:val="clear" w:color="auto" w:fill="FFFFFF"/>
            <w:tcBorders>
              <w:left w:val="single" w:sz="4"/>
              <w:right w:val="single" w:sz="4"/>
            </w:tcBorders>
            <w:vAlign w:val="top"/>
          </w:tcPr>
          <w:p>
            <w:pPr>
              <w:framePr w:w="10051" w:wrap="notBeside" w:vAnchor="text" w:hAnchor="text" w:xAlign="center" w:y="1"/>
              <w:widowControl w:val="0"/>
              <w:rPr>
                <w:sz w:val="10"/>
                <w:szCs w:val="10"/>
              </w:rPr>
            </w:pPr>
          </w:p>
        </w:tc>
      </w:tr>
      <w:tr>
        <w:trPr>
          <w:trHeight w:val="672" w:hRule="exact"/>
        </w:trPr>
        <w:tc>
          <w:tcPr>
            <w:shd w:val="clear" w:color="auto" w:fill="FFFFFF"/>
            <w:tcBorders>
              <w:left w:val="single" w:sz="4"/>
              <w:top w:val="single" w:sz="4"/>
              <w:bottom w:val="single" w:sz="4"/>
            </w:tcBorders>
            <w:vAlign w:val="bottom"/>
          </w:tcPr>
          <w:p>
            <w:pPr>
              <w:pStyle w:val="Style3"/>
              <w:framePr w:w="10051"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 xml:space="preserve">Менее 100 % от начальной (максимальной) цены </w:t>
            </w:r>
            <w:r>
              <w:rPr>
                <w:rStyle w:val="CharStyle14"/>
              </w:rPr>
              <w:t>контракта или не предоставление подтверждающих</w:t>
            </w:r>
          </w:p>
        </w:tc>
        <w:tc>
          <w:tcPr>
            <w:shd w:val="clear" w:color="auto" w:fill="FFFFFF"/>
            <w:tcBorders>
              <w:left w:val="single" w:sz="4"/>
              <w:top w:val="single" w:sz="4"/>
              <w:bottom w:val="single" w:sz="4"/>
            </w:tcBorders>
            <w:vAlign w:val="top"/>
          </w:tcPr>
          <w:p>
            <w:pPr>
              <w:pStyle w:val="Style3"/>
              <w:framePr w:w="10051"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0 баллов</w:t>
            </w:r>
          </w:p>
        </w:tc>
        <w:tc>
          <w:tcPr>
            <w:shd w:val="clear" w:color="auto" w:fill="FFFFFF"/>
            <w:tcBorders>
              <w:left w:val="single" w:sz="4"/>
              <w:right w:val="single" w:sz="4"/>
              <w:bottom w:val="single" w:sz="4"/>
            </w:tcBorders>
            <w:vAlign w:val="top"/>
          </w:tcPr>
          <w:p>
            <w:pPr>
              <w:framePr w:w="10051"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2400"/>
        <w:gridCol w:w="4248"/>
        <w:gridCol w:w="1709"/>
        <w:gridCol w:w="1709"/>
      </w:tblGrid>
      <w:tr>
        <w:trPr>
          <w:trHeight w:val="557" w:hRule="exact"/>
        </w:trPr>
        <w:tc>
          <w:tcPr>
            <w:shd w:val="clear" w:color="auto" w:fill="FFFFFF"/>
            <w:gridSpan w:val="2"/>
            <w:tcBorders>
              <w:left w:val="single" w:sz="4"/>
              <w:top w:val="single" w:sz="4"/>
            </w:tcBorders>
            <w:vAlign w:val="center"/>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документов</w:t>
            </w:r>
          </w:p>
        </w:tc>
        <w:tc>
          <w:tcPr>
            <w:shd w:val="clear" w:color="auto" w:fill="FFFFFF"/>
            <w:tcBorders>
              <w:left w:val="single" w:sz="4"/>
              <w:top w:val="single" w:sz="4"/>
            </w:tcBorders>
            <w:vAlign w:val="top"/>
          </w:tcPr>
          <w:p>
            <w:pPr>
              <w:framePr w:w="1006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66" w:wrap="notBeside" w:vAnchor="text" w:hAnchor="text" w:xAlign="center" w:y="1"/>
              <w:widowControl w:val="0"/>
              <w:rPr>
                <w:sz w:val="10"/>
                <w:szCs w:val="10"/>
              </w:rPr>
            </w:pPr>
          </w:p>
        </w:tc>
      </w:tr>
      <w:tr>
        <w:trPr>
          <w:trHeight w:val="509" w:hRule="exact"/>
        </w:trPr>
        <w:tc>
          <w:tcPr>
            <w:shd w:val="clear" w:color="auto" w:fill="FFFFFF"/>
            <w:gridSpan w:val="4"/>
            <w:tcBorders>
              <w:left w:val="single" w:sz="4"/>
              <w:righ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Обеспеченность участника закупки трудовыми ресурсами</w:t>
            </w:r>
          </w:p>
        </w:tc>
      </w:tr>
      <w:tr>
        <w:trPr>
          <w:trHeight w:val="518" w:hRule="exact"/>
        </w:trPr>
        <w:tc>
          <w:tcPr>
            <w:shd w:val="clear" w:color="auto" w:fill="FFFFFF"/>
            <w:vMerge w:val="restart"/>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Наличие штатных сотрудников с</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5 и более сотрудников</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100 баллов</w:t>
            </w:r>
          </w:p>
        </w:tc>
        <w:tc>
          <w:tcPr>
            <w:shd w:val="clear" w:color="auto" w:fill="FFFFFF"/>
            <w:tcBorders>
              <w:left w:val="single" w:sz="4"/>
              <w:righ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30</w:t>
            </w:r>
          </w:p>
        </w:tc>
      </w:tr>
      <w:tr>
        <w:trPr>
          <w:trHeight w:val="518" w:hRule="exact"/>
        </w:trPr>
        <w:tc>
          <w:tcPr>
            <w:shd w:val="clear" w:color="auto" w:fill="FFFFFF"/>
            <w:vMerge/>
            <w:tcBorders>
              <w:left w:val="single" w:sz="4"/>
            </w:tcBorders>
            <w:vAlign w:val="top"/>
          </w:tcPr>
          <w:p>
            <w:pPr>
              <w:framePr w:w="10066" w:wrap="notBeside" w:vAnchor="text" w:hAnchor="text" w:xAlign="center" w:y="1"/>
            </w:pPr>
          </w:p>
        </w:tc>
        <w:tc>
          <w:tcPr>
            <w:shd w:val="clear" w:color="auto" w:fill="FFFFFF"/>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4 сотрудников</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672" w:hRule="exact"/>
        </w:trPr>
        <w:tc>
          <w:tcPr>
            <w:shd w:val="clear" w:color="auto" w:fill="FFFFFF"/>
            <w:tcBorders>
              <w:left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12"/>
              </w:rPr>
              <w:t>высшим</w:t>
            </w:r>
          </w:p>
          <w:p>
            <w:pPr>
              <w:pStyle w:val="Style3"/>
              <w:framePr w:w="10066"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12"/>
              </w:rPr>
              <w:t>инженерно</w:t>
              <w:softHyphen/>
            </w:r>
          </w:p>
        </w:tc>
        <w:tc>
          <w:tcPr>
            <w:shd w:val="clear" w:color="auto" w:fill="FFFFFF"/>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2 сотрудника и более, но менее 4- х сотрудников</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494" w:hRule="exact"/>
        </w:trPr>
        <w:tc>
          <w:tcPr>
            <w:shd w:val="clear" w:color="auto" w:fill="FFFFFF"/>
            <w:vMerge w:val="restart"/>
            <w:tcBorders>
              <w:left w:val="single" w:sz="4"/>
            </w:tcBorders>
            <w:vAlign w:val="top"/>
          </w:tcPr>
          <w:p>
            <w:pPr>
              <w:pStyle w:val="Style3"/>
              <w:framePr w:w="10066" w:wrap="notBeside" w:vAnchor="text" w:hAnchor="text" w:xAlign="center" w:y="1"/>
              <w:widowControl w:val="0"/>
              <w:keepNext w:val="0"/>
              <w:keepLines w:val="0"/>
              <w:shd w:val="clear" w:color="auto" w:fill="auto"/>
              <w:bidi w:val="0"/>
              <w:jc w:val="center"/>
              <w:spacing w:before="0" w:line="240" w:lineRule="exact"/>
              <w:ind w:left="0" w:right="0" w:firstLine="0"/>
            </w:pPr>
            <w:r>
              <w:rPr>
                <w:rStyle w:val="CharStyle12"/>
              </w:rPr>
              <w:t>строительным</w:t>
            </w:r>
          </w:p>
          <w:p>
            <w:pPr>
              <w:pStyle w:val="Style3"/>
              <w:framePr w:w="10066" w:wrap="notBeside" w:vAnchor="text" w:hAnchor="text" w:xAlign="center" w:y="1"/>
              <w:widowControl w:val="0"/>
              <w:keepNext w:val="0"/>
              <w:keepLines w:val="0"/>
              <w:shd w:val="clear" w:color="auto" w:fill="auto"/>
              <w:bidi w:val="0"/>
              <w:jc w:val="center"/>
              <w:spacing w:before="60" w:after="0" w:line="240" w:lineRule="exact"/>
              <w:ind w:left="0" w:right="0" w:firstLine="0"/>
            </w:pPr>
            <w:r>
              <w:rPr>
                <w:rStyle w:val="CharStyle12"/>
              </w:rPr>
              <w:t>образованием</w:t>
            </w:r>
          </w:p>
        </w:tc>
        <w:tc>
          <w:tcPr>
            <w:shd w:val="clear" w:color="auto" w:fill="FFFFFF"/>
            <w:tcBorders>
              <w:left w:val="single" w:sz="4"/>
              <w:top w:val="single" w:sz="4"/>
            </w:tcBorders>
            <w:vAlign w:val="center"/>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1 сотрудник</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15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70" w:hRule="exact"/>
        </w:trPr>
        <w:tc>
          <w:tcPr>
            <w:shd w:val="clear" w:color="auto" w:fill="FFFFFF"/>
            <w:vMerge/>
            <w:tcBorders>
              <w:left w:val="single" w:sz="4"/>
            </w:tcBorders>
            <w:vAlign w:val="top"/>
          </w:tcPr>
          <w:p>
            <w:pPr>
              <w:framePr w:w="10066" w:wrap="notBeside" w:vAnchor="text" w:hAnchor="text" w:xAlign="center" w:y="1"/>
            </w:pPr>
          </w:p>
        </w:tc>
        <w:tc>
          <w:tcPr>
            <w:shd w:val="clear" w:color="auto" w:fill="FFFFFF"/>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Отсутствие сотрудников или не предоставление подтверждающих документов</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1301" w:hRule="exact"/>
        </w:trPr>
        <w:tc>
          <w:tcPr>
            <w:shd w:val="clear" w:color="auto" w:fill="FFFFFF"/>
            <w:gridSpan w:val="4"/>
            <w:tcBorders>
              <w:left w:val="single" w:sz="4"/>
              <w:righ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w:t>
            </w:r>
          </w:p>
          <w:p>
            <w:pPr>
              <w:pStyle w:val="Style3"/>
              <w:framePr w:w="1006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для выполнения работ</w:t>
            </w:r>
          </w:p>
        </w:tc>
      </w:tr>
      <w:tr>
        <w:trPr>
          <w:trHeight w:val="960"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12"/>
              </w:rPr>
              <w:t>Компьютер - 4 шт. и более; Принтер - 1 шт. и более; Плоттер - 1 шт. и более;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100 баллов</w:t>
            </w:r>
          </w:p>
        </w:tc>
        <w:tc>
          <w:tcPr>
            <w:shd w:val="clear" w:color="auto" w:fill="FFFFFF"/>
            <w:tcBorders>
              <w:left w:val="single" w:sz="4"/>
              <w:righ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30</w:t>
            </w:r>
          </w:p>
        </w:tc>
      </w:tr>
      <w:tr>
        <w:trPr>
          <w:trHeight w:val="1003"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31" w:lineRule="exact"/>
              <w:ind w:left="0" w:right="0" w:firstLine="0"/>
            </w:pPr>
            <w:r>
              <w:rPr>
                <w:rStyle w:val="CharStyle12"/>
              </w:rPr>
              <w:t>Компьютер - менее 4 шт.; Принтер - 1 шт. и более; Плоттер - 1 шт. и более;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65"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2"/>
              </w:rPr>
              <w:t>Компьютер - 4 шт. и более; Принтер - отсутствие; Плоттер - 1 шт. и более;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60"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- 1 шт. и более; Плоттер - отсутствие;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79"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- 1 шт. и более; Плоттер - 1 шт. и более; САПР-системы - менее 4 шт.;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60"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- 1 шт. и более; Плоттер - 1 шт. и более; САПР-системы - 4 шт. и более; помещение - отсутствие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60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84"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Компьютер - менее 4 шт.; Принтер - отсутствие; Плоттер - 1 шт. и более;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79" w:hRule="exact"/>
        </w:trPr>
        <w:tc>
          <w:tcPr>
            <w:shd w:val="clear" w:color="auto" w:fill="FFFFFF"/>
            <w:gridSpan w:val="2"/>
            <w:tcBorders>
              <w:left w:val="single" w:sz="4"/>
              <w:top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менее 4 шт.; Принтер - 1 шт. и более; Плоттер - отсутствие; САПР-системы - 4 шт. и более; помещение - наличие</w:t>
            </w:r>
          </w:p>
        </w:tc>
        <w:tc>
          <w:tcPr>
            <w:shd w:val="clear" w:color="auto" w:fill="FFFFFF"/>
            <w:tcBorders>
              <w:left w:val="single" w:sz="4"/>
              <w:top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66" w:wrap="notBeside" w:vAnchor="text" w:hAnchor="text" w:xAlign="center" w:y="1"/>
              <w:widowControl w:val="0"/>
              <w:rPr>
                <w:sz w:val="10"/>
                <w:szCs w:val="10"/>
              </w:rPr>
            </w:pPr>
          </w:p>
        </w:tc>
      </w:tr>
      <w:tr>
        <w:trPr>
          <w:trHeight w:val="998" w:hRule="exact"/>
        </w:trPr>
        <w:tc>
          <w:tcPr>
            <w:shd w:val="clear" w:color="auto" w:fill="FFFFFF"/>
            <w:gridSpan w:val="2"/>
            <w:tcBorders>
              <w:left w:val="single" w:sz="4"/>
              <w:top w:val="single" w:sz="4"/>
              <w:bottom w:val="single" w:sz="4"/>
            </w:tcBorders>
            <w:vAlign w:val="bottom"/>
          </w:tcPr>
          <w:p>
            <w:pPr>
              <w:pStyle w:val="Style3"/>
              <w:framePr w:w="1006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менее 4 шт.; Принтер - 1 шт. и более; Плоттер - 1 шт. и более; САПР-системы - менее 4 шт.; помещение - наличие</w:t>
            </w:r>
          </w:p>
        </w:tc>
        <w:tc>
          <w:tcPr>
            <w:shd w:val="clear" w:color="auto" w:fill="FFFFFF"/>
            <w:tcBorders>
              <w:left w:val="single" w:sz="4"/>
              <w:top w:val="single" w:sz="4"/>
              <w:bottom w:val="single" w:sz="4"/>
            </w:tcBorders>
            <w:vAlign w:val="top"/>
          </w:tcPr>
          <w:p>
            <w:pPr>
              <w:pStyle w:val="Style3"/>
              <w:framePr w:w="1006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bottom w:val="single" w:sz="4"/>
            </w:tcBorders>
            <w:vAlign w:val="top"/>
          </w:tcPr>
          <w:p>
            <w:pPr>
              <w:framePr w:w="10066"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6638"/>
        <w:gridCol w:w="1709"/>
        <w:gridCol w:w="1699"/>
      </w:tblGrid>
      <w:tr>
        <w:trPr>
          <w:trHeight w:val="1042"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31" w:lineRule="exact"/>
              <w:ind w:left="0" w:right="0" w:firstLine="0"/>
            </w:pPr>
            <w:r>
              <w:rPr>
                <w:rStyle w:val="CharStyle14"/>
              </w:rPr>
              <w:t xml:space="preserve">Компьютер - менее 4 шт.; Принтер - 1 шт. и более; </w:t>
            </w:r>
            <w:r>
              <w:rPr>
                <w:rStyle w:val="CharStyle12"/>
              </w:rPr>
              <w:t xml:space="preserve">Плоттер — 1 шт. и более; САПР-системы - 4 шт. и </w:t>
            </w:r>
            <w:r>
              <w:rPr>
                <w:rStyle w:val="CharStyle14"/>
              </w:rPr>
              <w:t xml:space="preserve">более; помещение </w:t>
            </w:r>
            <w:r>
              <w:rPr>
                <w:rStyle w:val="CharStyle12"/>
              </w:rPr>
              <w:t xml:space="preserve">- </w:t>
            </w:r>
            <w:r>
              <w:rPr>
                <w:rStyle w:val="CharStyle14"/>
              </w:rPr>
              <w:t>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4"/>
              </w:rPr>
              <w:t>35 баллов</w:t>
            </w:r>
          </w:p>
        </w:tc>
        <w:tc>
          <w:tcPr>
            <w:shd w:val="clear" w:color="auto" w:fill="FFFFFF"/>
            <w:tcBorders>
              <w:left w:val="single" w:sz="4"/>
              <w:right w:val="single" w:sz="4"/>
              <w:top w:val="single" w:sz="4"/>
            </w:tcBorders>
            <w:vAlign w:val="top"/>
          </w:tcPr>
          <w:p>
            <w:pPr>
              <w:framePr w:w="10046"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- 4 шт. и более; Принтер - отсутствие; Плоттер - отсутствие; САПР-системы - 4 шт. и более; помещение - наличие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70"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отсутствие; Плоттер - 1 шт. и более; САПР-системы - менее 4 шт.; помещение - наличие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отсутствие; Плоттер - 1 шт. и более; САПР-системы - 4 шт. и более;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- 4 шт. и более; Принтер - 1 шт. и более; Плоттер - отсутствие; САПР-системы - менее 4 шт.; помещение - наличие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65"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4 шт. и более; Принтер — 1 шт. и более; Плоттер - отсутствие; САПР-системы - 4 шт. и более;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- 4 шт. и более; Принтер - 1 шт. и более; Плоттер - 1 шт. и более; САПР-системы - менее 4 шт.;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35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- 4 шт. и более; Принтер - 1 шт. и более; Плоттер - отсутствие; САПР-системы - менее 4 шт.;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65"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отсутствие; Плоттер - 1 шт. и более; САПР-системы - менее 4 шт.;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Компьютер - менее 4 шт.; Принтер - 1 шт. и более; Плоттер - 1 шт. и более; САПР-системы - менее 4 шт.;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50"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07" w:lineRule="exact"/>
              <w:ind w:left="0" w:right="0" w:firstLine="0"/>
            </w:pPr>
            <w:r>
              <w:rPr>
                <w:rStyle w:val="CharStyle12"/>
              </w:rPr>
              <w:t>Компьютер - 4 шт. и более; Принтер - отсутствие; Плоттер — отсутствие; САПР-системы - 4 шт. и более;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Компьютер - 4 шт. и более; Принтер - отсутствие; Плоттер - отсутствие; САПР-системы - менее 4 шт.; помещение - наличие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Компьютер - менее 4 шт.; Принтер - 1 шт. и более; Плоттер - отсутствие; САПР-системы - 4 шт. и более; помещение - отсутствие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960" w:hRule="exact"/>
        </w:trPr>
        <w:tc>
          <w:tcPr>
            <w:shd w:val="clear" w:color="auto" w:fill="FFFFFF"/>
            <w:tcBorders>
              <w:left w:val="single" w:sz="4"/>
              <w:top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менее 4 шт.; Принтер - 1 шт. и более; Плоттер - отсутствие; САПР-системы - менее 4 шт.; помещение - наличие</w:t>
            </w:r>
          </w:p>
        </w:tc>
        <w:tc>
          <w:tcPr>
            <w:shd w:val="clear" w:color="auto" w:fill="FFFFFF"/>
            <w:tcBorders>
              <w:left w:val="single" w:sz="4"/>
              <w:top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tcBorders>
            <w:vAlign w:val="top"/>
          </w:tcPr>
          <w:p>
            <w:pPr>
              <w:framePr w:w="10046" w:wrap="notBeside" w:vAnchor="text" w:hAnchor="text" w:xAlign="center" w:y="1"/>
              <w:widowControl w:val="0"/>
              <w:rPr>
                <w:sz w:val="10"/>
                <w:szCs w:val="10"/>
              </w:rPr>
            </w:pPr>
          </w:p>
        </w:tc>
      </w:tr>
      <w:tr>
        <w:trPr>
          <w:trHeight w:val="686" w:hRule="exact"/>
        </w:trPr>
        <w:tc>
          <w:tcPr>
            <w:shd w:val="clear" w:color="auto" w:fill="FFFFFF"/>
            <w:tcBorders>
              <w:left w:val="single" w:sz="4"/>
              <w:top w:val="single" w:sz="4"/>
              <w:bottom w:val="single" w:sz="4"/>
            </w:tcBorders>
            <w:vAlign w:val="bottom"/>
          </w:tcPr>
          <w:p>
            <w:pPr>
              <w:pStyle w:val="Style3"/>
              <w:framePr w:w="10046"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 xml:space="preserve">Компьютер - менее 4 шт.; Принтер - отсутствие; </w:t>
            </w:r>
            <w:r>
              <w:rPr>
                <w:rStyle w:val="CharStyle14"/>
              </w:rPr>
              <w:t xml:space="preserve">Плоттер </w:t>
            </w:r>
            <w:r>
              <w:rPr>
                <w:rStyle w:val="CharStyle12"/>
              </w:rPr>
              <w:t xml:space="preserve">- </w:t>
            </w:r>
            <w:r>
              <w:rPr>
                <w:rStyle w:val="CharStyle14"/>
              </w:rPr>
              <w:t xml:space="preserve">1 шт. и более; САПР-системы </w:t>
            </w:r>
            <w:r>
              <w:rPr>
                <w:rStyle w:val="CharStyle12"/>
              </w:rPr>
              <w:t xml:space="preserve">- 4 </w:t>
            </w:r>
            <w:r>
              <w:rPr>
                <w:rStyle w:val="CharStyle14"/>
              </w:rPr>
              <w:t>шт. и</w:t>
            </w:r>
          </w:p>
        </w:tc>
        <w:tc>
          <w:tcPr>
            <w:shd w:val="clear" w:color="auto" w:fill="FFFFFF"/>
            <w:tcBorders>
              <w:left w:val="single" w:sz="4"/>
              <w:top w:val="single" w:sz="4"/>
              <w:bottom w:val="single" w:sz="4"/>
            </w:tcBorders>
            <w:vAlign w:val="top"/>
          </w:tcPr>
          <w:p>
            <w:pPr>
              <w:pStyle w:val="Style3"/>
              <w:framePr w:w="10046" w:wrap="notBeside" w:vAnchor="text" w:hAnchor="text" w:xAlign="center" w:y="1"/>
              <w:widowControl w:val="0"/>
              <w:keepNext w:val="0"/>
              <w:keepLines w:val="0"/>
              <w:shd w:val="clear" w:color="auto" w:fill="auto"/>
              <w:bidi w:val="0"/>
              <w:jc w:val="left"/>
              <w:spacing w:before="0" w:after="0" w:line="240" w:lineRule="exact"/>
              <w:ind w:left="280" w:right="0" w:firstLine="0"/>
            </w:pPr>
            <w:r>
              <w:rPr>
                <w:rStyle w:val="CharStyle12"/>
              </w:rPr>
              <w:t>25 баллов</w:t>
            </w:r>
          </w:p>
        </w:tc>
        <w:tc>
          <w:tcPr>
            <w:shd w:val="clear" w:color="auto" w:fill="FFFFFF"/>
            <w:tcBorders>
              <w:left w:val="single" w:sz="4"/>
              <w:right w:val="single" w:sz="4"/>
              <w:bottom w:val="single" w:sz="4"/>
            </w:tcBorders>
            <w:vAlign w:val="top"/>
          </w:tcPr>
          <w:p>
            <w:pPr>
              <w:framePr w:w="10046"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6634"/>
        <w:gridCol w:w="1714"/>
        <w:gridCol w:w="1694"/>
      </w:tblGrid>
      <w:tr>
        <w:trPr>
          <w:trHeight w:val="528" w:hRule="exact"/>
        </w:trPr>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12"/>
              </w:rPr>
              <w:t>более; помещение - отсутствие</w:t>
            </w:r>
          </w:p>
        </w:tc>
        <w:tc>
          <w:tcPr>
            <w:shd w:val="clear" w:color="auto" w:fill="FFFFFF"/>
            <w:tcBorders>
              <w:left w:val="single" w:sz="4"/>
              <w:top w:val="single" w:sz="4"/>
            </w:tcBorders>
            <w:vAlign w:val="top"/>
          </w:tcPr>
          <w:p>
            <w:pPr>
              <w:framePr w:w="1004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12"/>
              </w:rPr>
              <w:t>Компьютер - менее 4 шт.; Принтер - отсутствие; Плоттер - 1 шт. и более; САПР-системы - менее 4 шт.; помещение - наличие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25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1008"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36" w:lineRule="exact"/>
              <w:ind w:left="0" w:right="0" w:firstLine="0"/>
            </w:pPr>
            <w:r>
              <w:rPr>
                <w:rStyle w:val="CharStyle12"/>
              </w:rPr>
              <w:t>Компьютер - менее 4 шт.; Принтер - отсутствие; Плоттер - отсутствие; САПР-системы - 4 шт. и более; помещение - наличие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25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- 4 шт. и более; Принтер - отсутствие; Плоттер - отсутствие; САПР-системы - менее 4 шт.; помещение - отсутствие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10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70"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12"/>
              </w:rPr>
              <w:t>Компьютер - менее 4 шт.; Принтер - 1 шт. и более; Плоттер - отсутствие; САПР-системы - менее 4 шт.; помещение - отсутствие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10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84"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31" w:lineRule="exact"/>
              <w:ind w:left="0" w:right="0" w:firstLine="0"/>
            </w:pPr>
            <w:r>
              <w:rPr>
                <w:rStyle w:val="CharStyle12"/>
              </w:rPr>
              <w:t>Компьютер - менее 4 шт.; Принтер — отсутствие; Плоттер - 1 шт. и более; САПР-системы - менее 4 шт.; помещение - отсутствие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10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65"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менее 4 шт.; Принтер - отсутствие; Плоттер - отсутствие; САПР-системы - 4 шт. и более; помещение - отсутствие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10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79" w:hRule="exact"/>
        </w:trPr>
        <w:tc>
          <w:tcPr>
            <w:shd w:val="clear" w:color="auto" w:fill="FFFFFF"/>
            <w:tcBorders>
              <w:left w:val="single" w:sz="4"/>
              <w:top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12"/>
              </w:rPr>
              <w:t>Компьютер - менее 4 шт.; Принтер - отсутствие ; Плоттер - отсутствие ; САПР-системы - менее 4 шт.; помещение - наличие</w:t>
            </w:r>
          </w:p>
        </w:tc>
        <w:tc>
          <w:tcPr>
            <w:shd w:val="clear" w:color="auto" w:fill="FFFFFF"/>
            <w:tcBorders>
              <w:left w:val="single" w:sz="4"/>
              <w:top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10 баллов</w:t>
            </w:r>
          </w:p>
        </w:tc>
        <w:tc>
          <w:tcPr>
            <w:shd w:val="clear" w:color="auto" w:fill="FFFFFF"/>
            <w:tcBorders>
              <w:left w:val="single" w:sz="4"/>
              <w:right w:val="single" w:sz="4"/>
            </w:tcBorders>
            <w:vAlign w:val="top"/>
          </w:tcPr>
          <w:p>
            <w:pPr>
              <w:framePr w:w="10042" w:wrap="notBeside" w:vAnchor="text" w:hAnchor="text" w:xAlign="center" w:y="1"/>
              <w:widowControl w:val="0"/>
              <w:rPr>
                <w:sz w:val="10"/>
                <w:szCs w:val="10"/>
              </w:rPr>
            </w:pPr>
          </w:p>
        </w:tc>
      </w:tr>
      <w:tr>
        <w:trPr>
          <w:trHeight w:val="998" w:hRule="exact"/>
        </w:trPr>
        <w:tc>
          <w:tcPr>
            <w:shd w:val="clear" w:color="auto" w:fill="FFFFFF"/>
            <w:tcBorders>
              <w:left w:val="single" w:sz="4"/>
              <w:top w:val="single" w:sz="4"/>
              <w:bottom w:val="single" w:sz="4"/>
            </w:tcBorders>
            <w:vAlign w:val="bottom"/>
          </w:tcPr>
          <w:p>
            <w:pPr>
              <w:pStyle w:val="Style3"/>
              <w:framePr w:w="10042" w:wrap="notBeside" w:vAnchor="text" w:hAnchor="text" w:xAlign="center" w:y="1"/>
              <w:widowControl w:val="0"/>
              <w:keepNext w:val="0"/>
              <w:keepLines w:val="0"/>
              <w:shd w:val="clear" w:color="auto" w:fill="auto"/>
              <w:bidi w:val="0"/>
              <w:jc w:val="center"/>
              <w:spacing w:before="0" w:after="0" w:line="326" w:lineRule="exact"/>
              <w:ind w:left="0" w:right="0" w:firstLine="0"/>
            </w:pPr>
            <w:r>
              <w:rPr>
                <w:rStyle w:val="CharStyle12"/>
              </w:rPr>
              <w:t>Компьютер - менее 4 шт.; Принтер - отсутствие; Плоттер - отсутствие; САПР-системы - менее 4 шт.; помещение - отсутствие</w:t>
            </w:r>
          </w:p>
        </w:tc>
        <w:tc>
          <w:tcPr>
            <w:shd w:val="clear" w:color="auto" w:fill="FFFFFF"/>
            <w:tcBorders>
              <w:left w:val="single" w:sz="4"/>
              <w:top w:val="single" w:sz="4"/>
              <w:bottom w:val="single" w:sz="4"/>
            </w:tcBorders>
            <w:vAlign w:val="top"/>
          </w:tcPr>
          <w:p>
            <w:pPr>
              <w:pStyle w:val="Style3"/>
              <w:framePr w:w="10042"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12"/>
              </w:rPr>
              <w:t>0 баллов</w:t>
            </w:r>
          </w:p>
        </w:tc>
        <w:tc>
          <w:tcPr>
            <w:shd w:val="clear" w:color="auto" w:fill="FFFFFF"/>
            <w:tcBorders>
              <w:left w:val="single" w:sz="4"/>
              <w:right w:val="single" w:sz="4"/>
              <w:bottom w:val="single" w:sz="4"/>
            </w:tcBorders>
            <w:vAlign w:val="top"/>
          </w:tcPr>
          <w:p>
            <w:pPr>
              <w:framePr w:w="10042" w:wrap="notBeside" w:vAnchor="text" w:hAnchor="text" w:xAlign="center" w:y="1"/>
              <w:widowControl w:val="0"/>
              <w:rPr>
                <w:sz w:val="10"/>
                <w:szCs w:val="10"/>
              </w:rPr>
            </w:pPr>
          </w:p>
        </w:tc>
      </w:tr>
    </w:tbl>
    <w:p>
      <w:pPr>
        <w:widowControl w:val="0"/>
        <w:rPr>
          <w:sz w:val="2"/>
          <w:szCs w:val="2"/>
        </w:rPr>
      </w:pPr>
    </w:p>
    <w:p>
      <w:pPr>
        <w:pStyle w:val="Style3"/>
        <w:widowControl w:val="0"/>
        <w:keepNext w:val="0"/>
        <w:keepLines w:val="0"/>
        <w:shd w:val="clear" w:color="auto" w:fill="auto"/>
        <w:bidi w:val="0"/>
        <w:jc w:val="both"/>
        <w:spacing w:before="229" w:after="0" w:line="317" w:lineRule="exact"/>
        <w:ind w:left="140" w:right="20" w:firstLine="700"/>
      </w:pPr>
      <w:r>
        <w:rPr>
          <w:lang w:val="ru-RU" w:eastAsia="ru-RU" w:bidi="ru-RU"/>
          <w:sz w:val="24"/>
          <w:szCs w:val="24"/>
          <w:w w:val="100"/>
          <w:spacing w:val="0"/>
          <w:color w:val="000000"/>
          <w:position w:val="0"/>
        </w:rPr>
        <w:t>В силу подпункта 1 пункта 13.12 рассматриваемого раздела по показателю «Опыт участника по успешному выполнению работ сопоставимого характера и объема» работами сопоставимого характера будут являться проектно</w:t>
        <w:softHyphen/>
        <w:t>изыскательские работы за период с 01.09.2014 г. по дату окончания подачи заявок; работами сопоставимого объема будут являться проектно-изыскательские работы с ценой контракта 100% от начальной (максимальной) цены контракта и более.</w:t>
      </w:r>
    </w:p>
    <w:p>
      <w:pPr>
        <w:pStyle w:val="Style3"/>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spacing w:val="0"/>
          <w:color w:val="000000"/>
          <w:position w:val="0"/>
        </w:rPr>
        <w:t>Под успешным выполнением работ сопоставимого характера и объема понимается выполнение участником закупки в полном объеме контрактов/договоров по выполнению работ сопоставимого характера, по которым отсутствуют претензии со стороны Заказчиков к Подрядчику по объёму, качеству и стоимости выполненных работ.</w:t>
      </w:r>
    </w:p>
    <w:p>
      <w:pPr>
        <w:pStyle w:val="Style3"/>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spacing w:val="0"/>
          <w:color w:val="000000"/>
          <w:position w:val="0"/>
        </w:rPr>
        <w:t>Наличие опыта подтверждается документами, предоставляемыми участником в составе заявки: заполненной формой «Опыт участника по успешному выполнению работ сопоставимого характера и объема» (форма № 4 Раздела III конкурсной документации); заполненной формой «исполненный контракт/договор» (форма заполняется для каждого контракта/договора) ( форма</w:t>
      </w:r>
    </w:p>
    <w:p>
      <w:pPr>
        <w:pStyle w:val="Style3"/>
        <w:widowControl w:val="0"/>
        <w:keepNext w:val="0"/>
        <w:keepLines w:val="0"/>
        <w:shd w:val="clear" w:color="auto" w:fill="auto"/>
        <w:bidi w:val="0"/>
        <w:jc w:val="both"/>
        <w:spacing w:before="0" w:after="0" w:line="326" w:lineRule="exact"/>
        <w:ind w:left="20" w:right="20" w:firstLine="0"/>
      </w:pPr>
      <w:r>
        <w:rPr>
          <w:lang w:val="ru-RU" w:eastAsia="ru-RU" w:bidi="ru-RU"/>
          <w:sz w:val="24"/>
          <w:szCs w:val="24"/>
          <w:w w:val="100"/>
          <w:spacing w:val="0"/>
          <w:color w:val="000000"/>
          <w:position w:val="0"/>
        </w:rPr>
        <w:t xml:space="preserve">№ 4.1. </w:t>
      </w:r>
      <w:r>
        <w:rPr>
          <w:rStyle w:val="CharStyle8"/>
        </w:rPr>
        <w:t xml:space="preserve">Раздела </w:t>
      </w:r>
      <w:r>
        <w:rPr>
          <w:lang w:val="ru-RU" w:eastAsia="ru-RU" w:bidi="ru-RU"/>
          <w:sz w:val="24"/>
          <w:szCs w:val="24"/>
          <w:w w:val="100"/>
          <w:spacing w:val="0"/>
          <w:color w:val="000000"/>
          <w:position w:val="0"/>
        </w:rPr>
        <w:t xml:space="preserve">III </w:t>
      </w:r>
      <w:r>
        <w:rPr>
          <w:rStyle w:val="CharStyle8"/>
        </w:rPr>
        <w:t xml:space="preserve">конкурсной документации), копиями исполненных </w:t>
      </w:r>
      <w:r>
        <w:rPr>
          <w:lang w:val="ru-RU" w:eastAsia="ru-RU" w:bidi="ru-RU"/>
          <w:sz w:val="24"/>
          <w:szCs w:val="24"/>
          <w:w w:val="100"/>
          <w:spacing w:val="0"/>
          <w:color w:val="000000"/>
          <w:position w:val="0"/>
        </w:rPr>
        <w:t xml:space="preserve">контрактов/договоров на выполнение работ сопоставимого характера за период с 01.09.2014 г. по дату окончания подачи заявок, с приложением копий дополнительных соглашений и изменений к таким договорам (при наличии), </w:t>
      </w:r>
      <w:r>
        <w:rPr>
          <w:rStyle w:val="CharStyle15"/>
        </w:rPr>
        <w:t>копий актов выполненных работ, копий накладных (при наличии), копий счета-</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фактуры (при их обязательном наличии в соответствии с НК РФ), копиями иных документов, составленных в результате исполнения таких договоров, копиями пояснительных записок проектов.</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случае разночтений в суммах указанных в исполненных контрактах/договорах и отчетных документах (актах приема-передачи, накладных, счетах-фактур), к таким контрактам/договорам, комиссия не будет учитывать весь контракт/договор.</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случае предоставления неполного комплекта документов по контракту/договору и/или не предоставления форм «Опыт участника по успешному выполнению работ сопоставимого характера и объема» и «Исполненный контракт/договор», либо выявления разночтений сведений в представленных документах формам «Опыт участника по успешному выполнению работ сопоставимого характера и объема» и «Исполненный контракт/договор», комиссия не будет учитывать объем по такому контракту/договору.</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случае выявления, в представленных документах, разночтений в предоставляемой информации, начисление баллов по данному показателю не производиться.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Для целей расчета баллов по показателю комиссия учитывает совокупный объем по представленным контрактам/договорам, удовлетворяющим требованиям настоящего пункта.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Из подпункта 2 рассматриваемого пункта следует, что по показателю «Обеспеченность участника закупки трудовыми ресурсами», для целей начисления баллов сотрудники участника закупки должны соответствовать следующим критериям: Наличие высшего инженерно-строительного образования; наличие опыта работы по специальности 3 года и более.</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Подтверждающие документы, предоставляемые участником в составе заявки: копия штатного расписания участника; заполненная форма «Наличие трудовых ресурсов» форма № 5 Раздела III документации; заполненная форма «Специалисты участника» (форма заполняется для каждого специалиста) форма № 5.1 Раздела III документации; копиями дипломов о высшем образовании специалистов, копиями трудовых книжек специалистов, копиями документов, подтверждающих наличие трудовых отношений со специалистом: трудовой договор и, при наличии, приказ о приеме на работу.</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случае предоставления не полного пакета документов в отношении специалиста, не предоставлении формы «Специалисты участника», в отношении конкретного специалиста, несоответствия сведений в форме «Специалисты участника» предоставляемым документам, комиссия не засчитывает наличие</w:t>
      </w:r>
    </w:p>
    <w:p>
      <w:pPr>
        <w:pStyle w:val="Style9"/>
        <w:widowControl w:val="0"/>
        <w:keepNext/>
        <w:keepLines/>
        <w:shd w:val="clear" w:color="auto" w:fill="auto"/>
        <w:bidi w:val="0"/>
        <w:spacing w:before="0" w:after="0"/>
        <w:ind w:left="20" w:right="20" w:firstLine="0"/>
      </w:pPr>
      <w:bookmarkStart w:id="3" w:name="bookmark3"/>
      <w:r>
        <w:rPr>
          <w:lang w:val="ru-RU" w:eastAsia="ru-RU" w:bidi="ru-RU"/>
          <w:sz w:val="24"/>
          <w:szCs w:val="24"/>
          <w:w w:val="100"/>
          <w:spacing w:val="0"/>
          <w:color w:val="000000"/>
          <w:position w:val="0"/>
        </w:rPr>
        <w:t xml:space="preserve">такого специалиста. В случае не предоставления формы «Наличие трудовых </w:t>
      </w:r>
      <w:r>
        <w:rPr>
          <w:rStyle w:val="CharStyle11"/>
        </w:rPr>
        <w:t>ресурсов» начисление баллов по данному критерию не производится.</w:t>
      </w:r>
      <w:bookmarkEnd w:id="3"/>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случае выявления, в представленных документах, разночтений в предоставляемой информации, начисление баллов по данному показателю не производиться.</w:t>
      </w:r>
    </w:p>
    <w:p>
      <w:pPr>
        <w:pStyle w:val="Style3"/>
        <w:widowControl w:val="0"/>
        <w:keepNext w:val="0"/>
        <w:keepLines w:val="0"/>
        <w:shd w:val="clear" w:color="auto" w:fill="auto"/>
        <w:bidi w:val="0"/>
        <w:jc w:val="both"/>
        <w:spacing w:before="0" w:after="0" w:line="317" w:lineRule="exact"/>
        <w:ind w:left="20" w:right="20" w:firstLine="700"/>
      </w:pPr>
      <w:r>
        <w:rPr>
          <w:rStyle w:val="CharStyle8"/>
        </w:rPr>
        <w:t xml:space="preserve">В соответствии с подпунктом 3 рассматриваемого пункта следует, что по </w:t>
      </w:r>
      <w:r>
        <w:rPr>
          <w:lang w:val="ru-RU" w:eastAsia="ru-RU" w:bidi="ru-RU"/>
          <w:sz w:val="24"/>
          <w:szCs w:val="24"/>
          <w:w w:val="100"/>
          <w:spacing w:val="0"/>
          <w:color w:val="000000"/>
          <w:position w:val="0"/>
        </w:rPr>
        <w:t xml:space="preserve">показателю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w:t>
      </w:r>
      <w:r>
        <w:rPr>
          <w:rStyle w:val="CharStyle8"/>
        </w:rPr>
        <w:t xml:space="preserve">для </w:t>
      </w:r>
      <w:r>
        <w:rPr>
          <w:lang w:val="ru-RU" w:eastAsia="ru-RU" w:bidi="ru-RU"/>
          <w:sz w:val="24"/>
          <w:szCs w:val="24"/>
          <w:w w:val="100"/>
          <w:spacing w:val="0"/>
          <w:color w:val="000000"/>
          <w:position w:val="0"/>
        </w:rPr>
        <w:t xml:space="preserve">выполнения работ»: для целей начисления баллов будут учитываться компьютер, который должен соответствовать требованиям: объем оперативной памяти - не менее 2 Гб, емкость жесткого диска - не менее 500 Гб; Плоттер, который должен соответствовать требованиям - минимальный объем памяти - не менее 64 Мб, потребляемая мощность в режиме печати - не более 35 Вт, разрешение при печати - не менее </w:t>
      </w:r>
      <w:r>
        <w:rPr>
          <w:lang w:val="en-US" w:eastAsia="en-US" w:bidi="en-US"/>
          <w:sz w:val="24"/>
          <w:szCs w:val="24"/>
          <w:w w:val="100"/>
          <w:spacing w:val="0"/>
          <w:color w:val="000000"/>
          <w:position w:val="0"/>
        </w:rPr>
        <w:t xml:space="preserve">600x600 </w:t>
      </w:r>
      <w:r>
        <w:rPr>
          <w:lang w:val="ru-RU" w:eastAsia="ru-RU" w:bidi="ru-RU"/>
          <w:sz w:val="24"/>
          <w:szCs w:val="24"/>
          <w:w w:val="100"/>
          <w:spacing w:val="0"/>
          <w:color w:val="000000"/>
          <w:position w:val="0"/>
        </w:rPr>
        <w:t>т/д.; Принтер, который должен соответствовать требованиям - формат печати - АЗ и более; Помещение, которое должно соответствовать требованиям - площадь 50 м2 и более. Под системами автоматизированного проектирования Заказчик будет понимать программные продукты, отнесенные к САПР системам в определении ГОСТ 23501.101-87.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качестве подтверждающих документов, участнику закупки необходимо представить в составе заявки: заполненную форму «Наличие материально- технических ресурсов» с приложениями в отношении каждой единицы материально-технического ресурса, по форме №6 - 6.5 Раздела III документации, копии документов, подтверждающих приобретение основного средства (накладную и/или акт приема передачи), копии карточек учета основных средств (Форма ОС-6), копию договора аренды недвижимого имущества (при аренде), копию свидетельства о регистрации права собственности на помещение либо копию выписки из ЕГРП при регистрации недвижимого имущества с 15.07.2016 г. (собственное или арендодателя), копию технического или кадастрового планов занимаемого помещения, копию «шильды» завода-изготовителя, расположенную на оборудовании (при наличии), содержащую серийный и/или заводской номер оборудования. При предоставлении оборудования, состоящего из двух и более элементов, копии «тильды» завода-изготовителя предоставляется на каждый элемент отдельно.</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отношении специализированных компьютерных программных продуктов - средств автоматизированного проектирования (САПР систем):</w:t>
      </w:r>
    </w:p>
    <w:p>
      <w:pPr>
        <w:pStyle w:val="Style3"/>
        <w:widowControl w:val="0"/>
        <w:keepNext w:val="0"/>
        <w:keepLines w:val="0"/>
        <w:shd w:val="clear" w:color="auto" w:fill="auto"/>
        <w:bidi w:val="0"/>
        <w:jc w:val="left"/>
        <w:spacing w:before="0" w:after="0" w:line="317" w:lineRule="exact"/>
        <w:ind w:left="20" w:right="20" w:firstLine="1140"/>
      </w:pPr>
      <w:r>
        <w:rPr>
          <w:lang w:val="ru-RU" w:eastAsia="ru-RU" w:bidi="ru-RU"/>
          <w:sz w:val="24"/>
          <w:szCs w:val="24"/>
          <w:w w:val="100"/>
          <w:spacing w:val="0"/>
          <w:color w:val="000000"/>
          <w:position w:val="0"/>
        </w:rPr>
        <w:t>копии документов, подтверждающих право неисключительного использования программного продукта (САПР системы) (копии лицензий);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документы, подтверждающие приобретение права неисключительного использования программного продукта.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случае предоставления не полного пакета документов в отношении единицы материально-технологического ресурса, не предоставления приложений к форме «Наличие материально-технических ресурсов» в отношении материально-технического ресурса, разночтения в информации содержащейся в приложении к форме «Наличие материально-технических ресурсов» в отношении материально-технического ресурса предоставляемым участникам документам, комиссия не засчитывает наличие такого материально-технического ресурса.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случае выявления, в представленных документах, разночтений в предоставляемой информации, не предоставлении формы «Наличие материально- технических ресурсов» начисление баллов по данному показателю не производиться.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Отсутствие документов подтверждающих квалификацию участника не является основанием для отклонения заявки участника.</w:t>
      </w:r>
    </w:p>
    <w:p>
      <w:pPr>
        <w:pStyle w:val="Style3"/>
        <w:widowControl w:val="0"/>
        <w:keepNext w:val="0"/>
        <w:keepLines w:val="0"/>
        <w:shd w:val="clear" w:color="auto" w:fill="auto"/>
        <w:bidi w:val="0"/>
        <w:jc w:val="both"/>
        <w:spacing w:before="0" w:after="304" w:line="322" w:lineRule="exact"/>
        <w:ind w:left="20" w:right="20" w:firstLine="700"/>
      </w:pPr>
      <w:r>
        <w:rPr>
          <w:lang w:val="ru-RU" w:eastAsia="ru-RU" w:bidi="ru-RU"/>
          <w:sz w:val="24"/>
          <w:szCs w:val="24"/>
          <w:w w:val="100"/>
          <w:spacing w:val="0"/>
          <w:color w:val="000000"/>
          <w:position w:val="0"/>
        </w:rPr>
        <w:t>В случае установления недостоверности информации, содержащейся в документах, представленных участником конкурса, конкурсная комиссия отстраняет такого участника от участия в конкурсе на любом этапе его проведения.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вышеуказанное описание порядка оценки по показателям «опыт участника по успешному выполнению работ сопоставимого характера и объема», «обеспеченность участника закупки материально- 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нестоимостного критерия противоречит требованиям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 Заявитель считает, что подтверждение опыта участника посредством предоставление в составе заявки копий пояснительных записок проектов, нарушит авторские права на разработанную проектную документацию, принадлежащие третьим лицам.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Между тем, в жалобе отсутствуют сведения об информации, содержащейся в пояснительной записке проекта, которой не вправе распоряжаться проектант для подтверждения своего опыта, что не позволяет Комиссии согласиться в этой части с Заявителем.</w:t>
      </w:r>
    </w:p>
    <w:p>
      <w:pPr>
        <w:pStyle w:val="Style3"/>
        <w:widowControl w:val="0"/>
        <w:keepNext w:val="0"/>
        <w:keepLines w:val="0"/>
        <w:shd w:val="clear" w:color="auto" w:fill="auto"/>
        <w:bidi w:val="0"/>
        <w:jc w:val="both"/>
        <w:spacing w:before="0" w:after="296" w:line="317" w:lineRule="exact"/>
        <w:ind w:left="20" w:right="20" w:firstLine="700"/>
      </w:pPr>
      <w:r>
        <w:rPr>
          <w:lang w:val="ru-RU" w:eastAsia="ru-RU" w:bidi="ru-RU"/>
          <w:sz w:val="24"/>
          <w:szCs w:val="24"/>
          <w:w w:val="100"/>
          <w:spacing w:val="0"/>
          <w:color w:val="000000"/>
          <w:position w:val="0"/>
        </w:rPr>
        <w:t>Аналогичная ситуация складывается с позицией Заявителя в части несогласия с установлением в конкурсной документации требований к потребляемой мощности плоттера в режиме печати, предоставлению копии «шильды» завода-изготовителя.</w:t>
      </w:r>
    </w:p>
    <w:p>
      <w:pPr>
        <w:pStyle w:val="Style3"/>
        <w:widowControl w:val="0"/>
        <w:keepNext w:val="0"/>
        <w:keepLines w:val="0"/>
        <w:shd w:val="clear" w:color="auto" w:fill="auto"/>
        <w:bidi w:val="0"/>
        <w:jc w:val="both"/>
        <w:spacing w:before="0" w:after="304" w:line="322" w:lineRule="exact"/>
        <w:ind w:left="20" w:right="20" w:firstLine="700"/>
      </w:pPr>
      <w:r>
        <w:rPr>
          <w:lang w:val="ru-RU" w:eastAsia="ru-RU" w:bidi="ru-RU"/>
          <w:sz w:val="24"/>
          <w:szCs w:val="24"/>
          <w:w w:val="100"/>
          <w:spacing w:val="0"/>
          <w:color w:val="000000"/>
          <w:position w:val="0"/>
        </w:rPr>
        <w:t>В части оспаривания Заявителем формулировки «В случае выявления, в представленных документах, разночтений в предоставляемой информации, начисление баллов по данному показателю не производиться.», содержащейся в порядке оценки заявки по вышеуказанным показателям, Комиссия не соглашается с доводами жалобы, поскольку из совокупного толкования положений порядка усматривается, что данная формулировка применима при наличии разночтений во всех документах, подлежащих оценки по показателю.</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 жалобы следует, что в нарушение требований Закона о контрактной системе конкурсная документация не содержит срока действия контракта, что не </w:t>
      </w:r>
      <w:r>
        <w:rPr>
          <w:rStyle w:val="CharStyle8"/>
        </w:rPr>
        <w:t xml:space="preserve">позволяет участнику закупки воспользоваться банковской гарантией в качестве </w:t>
      </w:r>
      <w:r>
        <w:rPr>
          <w:lang w:val="ru-RU" w:eastAsia="ru-RU" w:bidi="ru-RU"/>
          <w:sz w:val="24"/>
          <w:szCs w:val="24"/>
          <w:w w:val="100"/>
          <w:spacing w:val="0"/>
          <w:color w:val="000000"/>
          <w:position w:val="0"/>
        </w:rPr>
        <w:t>обеспечения исполнения обязательств по контракту, а также отсутствует срок выполнение работ.</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силу пункта 2.1 проекта контракта подрядчик обязуется полностью выполнить все работы в соответствии с контрактом и совместно с Государственным заказчиком получить положительное заключение государственной экспертизы, а также все необходимые согласования за 210 календарных дней с даты заключения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пунктом 7.1 проекта контракта контракт вступает в силу со дня его заключения и действует до полного исполнения Сторонами принятых на себя обязательств.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Закон о контрактной системе не содержит положении о необходимости определить наступление срока выполнения работ и срока действия контракта определенной календарной датой.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Из статьи 190 Гражданского кодекса Российской Федерации следует, что срок может определяться также указанием на событие, которое должно неизбежно наступить.</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При таких обстоятельствах Комиссия приходит к выводу об установлении в проекте контракта спорных сроков.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пункту 10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условия банковской гарантии (в том числе срок ее действия).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силу части 1 статьи 96 Закона о контрактной системе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Частью 3 рассматриваемой статьи определено, что исполнение контракта может обеспечиваться предоставлением банковской гарантии, выданной банком и соответствующей требованиям статьи 45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пункту 5 части 2 статьи 45 Закона о контрактной системе банковская гарантия должна быть безотзывной и должна содержать срок действия банковской гарантии с учетом требований статей 44 и 96 настоящего Федерального закона.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пункту 8.5.1 раздела 2 общей части конкурсной документации срок действия банковской гарантии установлен в проекте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соответствии с подпунктом 5 пункта 8.5 проекта контракта срок действия банковской гарантии должен превышать срок действия контракта не менее чем на три месяца.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Исходя изложенного, можно определить, что срок действия банковской гарантии зависит от наступления момента исполнения сторонами обязательств, предусмотренных контрактом.</w:t>
      </w:r>
    </w:p>
    <w:p>
      <w:pPr>
        <w:pStyle w:val="Style9"/>
        <w:widowControl w:val="0"/>
        <w:keepNext/>
        <w:keepLines/>
        <w:shd w:val="clear" w:color="auto" w:fill="auto"/>
        <w:bidi w:val="0"/>
        <w:spacing w:before="0" w:after="240" w:line="326" w:lineRule="exact"/>
        <w:ind w:left="20" w:right="20" w:firstLine="700"/>
      </w:pPr>
      <w:bookmarkStart w:id="4" w:name="bookmark4"/>
      <w:r>
        <w:rPr>
          <w:lang w:val="ru-RU" w:eastAsia="ru-RU" w:bidi="ru-RU"/>
          <w:sz w:val="24"/>
          <w:szCs w:val="24"/>
          <w:w w:val="100"/>
          <w:spacing w:val="0"/>
          <w:color w:val="000000"/>
          <w:position w:val="0"/>
        </w:rPr>
        <w:t xml:space="preserve">Таким образом, Комиссия не усматривает в действиях Заказчика нарушение </w:t>
      </w:r>
      <w:r>
        <w:rPr>
          <w:rStyle w:val="CharStyle11"/>
        </w:rPr>
        <w:t>Закона о контрактной системе.</w:t>
      </w:r>
      <w:bookmarkEnd w:id="4"/>
    </w:p>
    <w:p>
      <w:pPr>
        <w:pStyle w:val="Style3"/>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spacing w:val="0"/>
          <w:color w:val="000000"/>
          <w:position w:val="0"/>
        </w:rPr>
        <w:t>Согласно жалобе конкурсная документация не соответствует части 7 статьи 50 Закона о контрактной системе, из которой следует, что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Аналогичное требование содержится в пункте 3.1 раздела 2 общей части конкурсной документации. Помимо того, этим же пунктом предусмотрена возможность направления запроса посредством передачи его Заказчику нарочно, что также не нарушает положения части 7 статьи 50 Закона о контрактной системе.</w:t>
      </w:r>
    </w:p>
    <w:p>
      <w:pPr>
        <w:pStyle w:val="Style3"/>
        <w:widowControl w:val="0"/>
        <w:keepNext w:val="0"/>
        <w:keepLines w:val="0"/>
        <w:shd w:val="clear" w:color="auto" w:fill="auto"/>
        <w:bidi w:val="0"/>
        <w:jc w:val="both"/>
        <w:spacing w:before="0" w:after="244" w:line="322" w:lineRule="exact"/>
        <w:ind w:left="20" w:right="0" w:firstLine="700"/>
      </w:pPr>
      <w:r>
        <w:rPr>
          <w:lang w:val="ru-RU" w:eastAsia="ru-RU" w:bidi="ru-RU"/>
          <w:sz w:val="24"/>
          <w:szCs w:val="24"/>
          <w:w w:val="100"/>
          <w:spacing w:val="0"/>
          <w:color w:val="000000"/>
          <w:position w:val="0"/>
        </w:rPr>
        <w:t>Учитывая изложенное, позиция Заявителя не подтвердилась.</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По мнению Заявителя, конкурсная документация содержит нарушение части 3 статьи 96 Закона о контрактной системе, выражающееся в неправомерном установлении в конкурсной документации требования к сроку действия банковской гарантии, который, согласно данной документации, должен превышать срок действия контракта не менее чем на три месяца.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частью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3"/>
        <w:tabs>
          <w:tab w:leader="none" w:pos="2089"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Таким образом, банковская гарантия, которая выдается в обеспечение исполнения обязательств по контракту, должна соответствовать требованиям, предусмотренным в статье 45 Закона о контрактной системе. Дополнительные требования к банковской гарантии устанавливаются Правительством Российской Федерации (часть 8.2 статьи 45 Закона о контрактной системе). В настоящее </w:t>
      </w:r>
      <w:r>
        <w:rPr>
          <w:rStyle w:val="CharStyle8"/>
        </w:rPr>
        <w:t xml:space="preserve">время они утверждены Постановлением Правительства Российской Федерации от </w:t>
      </w:r>
      <w:r>
        <w:rPr>
          <w:lang w:val="ru-RU" w:eastAsia="ru-RU" w:bidi="ru-RU"/>
          <w:sz w:val="24"/>
          <w:szCs w:val="24"/>
          <w:w w:val="100"/>
          <w:spacing w:val="0"/>
          <w:color w:val="000000"/>
          <w:position w:val="0"/>
        </w:rPr>
        <w:t>08.11.2013 №</w:t>
        <w:tab/>
        <w:t>1005 «О банковских гарантиях, используемых для целей</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Федерального закона «О контрактной системе в сфере закупок товаров, работ, услуг для обеспечения государственных и муниципальных нужд» и не содержат каких-либо дополнительных ограничений срока действия банковской гарантии.</w:t>
      </w:r>
    </w:p>
    <w:p>
      <w:pPr>
        <w:pStyle w:val="Style3"/>
        <w:widowControl w:val="0"/>
        <w:keepNext w:val="0"/>
        <w:keepLines w:val="0"/>
        <w:shd w:val="clear" w:color="auto" w:fill="auto"/>
        <w:bidi w:val="0"/>
        <w:jc w:val="both"/>
        <w:spacing w:before="0" w:after="0" w:line="317" w:lineRule="exact"/>
        <w:ind w:left="20" w:right="20" w:firstLine="700"/>
      </w:pPr>
      <w:r>
        <w:rPr>
          <w:rStyle w:val="CharStyle8"/>
        </w:rPr>
        <w:t xml:space="preserve">Согласно пункту 1 статьи 329 Гражданского кодекса Российской Федерации </w:t>
      </w:r>
      <w:r>
        <w:rPr>
          <w:lang w:val="ru-RU" w:eastAsia="ru-RU" w:bidi="ru-RU"/>
          <w:sz w:val="24"/>
          <w:szCs w:val="24"/>
          <w:w w:val="100"/>
          <w:spacing w:val="0"/>
          <w:color w:val="000000"/>
          <w:position w:val="0"/>
        </w:rPr>
        <w:t>исполнение обязательств может обеспечиваться неустойкой, залогом, удержанием имущества должника, поручительством, банковской гарантией, задатком и другими способами, предусмотренными законом или договором.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Статья 368 Гражданского кодекса Российской Федерации установила, что в силу банковской гарантии банк, иное кредитное учреждение (гарант) выдают по просьбе другого лица (принципала) письменное обязательство уплатить третьему лицу (бенефициару) в соответствии с условиями даваемого гарантом обязательства денежную сумму по представлении бенефициаром письменного требования об уплате.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Таким образом, Законом о контрактной системе предусмотрен институт банковской гарантии как один из видов обеспечения обязательств по государственным контрактам. При этом данный Закон устанавливает обязательное условие банковской гарантии - превышение срока действия банковской гарантии над сроком контракта минимум на один месяц. Вместе с тем, максимального предела действия банковской гарантии законодателем не установлено, поскольку такое обеспечение направлено на защиту государственных заказчиков от действий недобросовестных участников размещения заказов и позволяет сократить риски, связанные с неисполнением контрактов.</w:t>
      </w:r>
    </w:p>
    <w:p>
      <w:pPr>
        <w:pStyle w:val="Style3"/>
        <w:widowControl w:val="0"/>
        <w:keepNext w:val="0"/>
        <w:keepLines w:val="0"/>
        <w:shd w:val="clear" w:color="auto" w:fill="auto"/>
        <w:bidi w:val="0"/>
        <w:jc w:val="both"/>
        <w:spacing w:before="0" w:after="285" w:line="312" w:lineRule="exact"/>
        <w:ind w:left="20" w:right="20" w:firstLine="700"/>
      </w:pPr>
      <w:r>
        <w:rPr>
          <w:lang w:val="ru-RU" w:eastAsia="ru-RU" w:bidi="ru-RU"/>
          <w:sz w:val="24"/>
          <w:szCs w:val="24"/>
          <w:w w:val="100"/>
          <w:spacing w:val="0"/>
          <w:color w:val="000000"/>
          <w:position w:val="0"/>
        </w:rPr>
        <w:t>Учитывая отсутствие запрета на изменение минимального срока действия банковской гарантии в сторону его увеличения, Комиссия не соглашается с позицией Заявителя, изложенной в жалобе.</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Доказательств обратного в материалах дела не содержится, Заявителем не представлено, поскольку его представитель не явился на заседание Комиссии.</w:t>
      </w:r>
    </w:p>
    <w:p>
      <w:pPr>
        <w:pStyle w:val="Style3"/>
        <w:widowControl w:val="0"/>
        <w:keepNext w:val="0"/>
        <w:keepLines w:val="0"/>
        <w:shd w:val="clear" w:color="auto" w:fill="auto"/>
        <w:bidi w:val="0"/>
        <w:jc w:val="both"/>
        <w:spacing w:before="0" w:after="482" w:line="317"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left"/>
        <w:spacing w:before="0" w:after="242" w:line="240" w:lineRule="exact"/>
        <w:ind w:left="472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left"/>
        <w:spacing w:before="0" w:after="304" w:line="240" w:lineRule="exact"/>
        <w:ind w:left="1160" w:right="0" w:firstLine="0"/>
      </w:pPr>
      <w:r>
        <w:rPr>
          <w:lang w:val="ru-RU" w:eastAsia="ru-RU" w:bidi="ru-RU"/>
          <w:sz w:val="24"/>
          <w:szCs w:val="24"/>
          <w:w w:val="100"/>
          <w:spacing w:val="0"/>
          <w:color w:val="000000"/>
          <w:position w:val="0"/>
        </w:rPr>
        <w:t>Признать жалобу ООО Институт «Новгородпроект» необоснованной.</w:t>
      </w:r>
    </w:p>
    <w:p>
      <w:pPr>
        <w:pStyle w:val="Style3"/>
        <w:widowControl w:val="0"/>
        <w:keepNext w:val="0"/>
        <w:keepLines w:val="0"/>
        <w:shd w:val="clear" w:color="auto" w:fill="auto"/>
        <w:bidi w:val="0"/>
        <w:jc w:val="both"/>
        <w:spacing w:before="0" w:after="613" w:line="331" w:lineRule="exact"/>
        <w:ind w:left="20" w:right="2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грех месяцев со дня принятия.</w:t>
      </w:r>
    </w:p>
    <w:p>
      <w:pPr>
        <w:pStyle w:val="Style3"/>
        <w:widowControl w:val="0"/>
        <w:keepNext w:val="0"/>
        <w:keepLines w:val="0"/>
        <w:shd w:val="clear" w:color="auto" w:fill="auto"/>
        <w:bidi w:val="0"/>
        <w:jc w:val="left"/>
        <w:spacing w:before="0" w:after="367" w:line="240" w:lineRule="exact"/>
        <w:ind w:left="2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934" w:left="829" w:right="1002" w:bottom="7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7">
    <w:name w:val="Заголовок №1_"/>
    <w:basedOn w:val="DefaultParagraphFont"/>
    <w:link w:val="Style6"/>
    <w:rPr>
      <w:b w:val="0"/>
      <w:bCs w:val="0"/>
      <w:i w:val="0"/>
      <w:iCs w:val="0"/>
      <w:u w:val="none"/>
      <w:strike w:val="0"/>
      <w:smallCaps w:val="0"/>
      <w:sz w:val="28"/>
      <w:szCs w:val="28"/>
      <w:rFonts w:ascii="Times New Roman" w:eastAsia="Times New Roman" w:hAnsi="Times New Roman" w:cs="Times New Roman"/>
      <w:spacing w:val="80"/>
    </w:rPr>
  </w:style>
  <w:style w:type="character" w:customStyle="1" w:styleId="CharStyle8">
    <w:name w:val="Основной текст"/>
    <w:basedOn w:val="CharStyle4"/>
    <w:rPr>
      <w:lang w:val="ru-RU" w:eastAsia="ru-RU" w:bidi="ru-RU"/>
      <w:sz w:val="24"/>
      <w:szCs w:val="24"/>
      <w:w w:val="100"/>
      <w:spacing w:val="0"/>
      <w:color w:val="000000"/>
      <w:position w:val="0"/>
    </w:rPr>
  </w:style>
  <w:style w:type="character" w:customStyle="1" w:styleId="CharStyle10">
    <w:name w:val="Заголовок №2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1">
    <w:name w:val="Заголовок №2"/>
    <w:basedOn w:val="CharStyle10"/>
    <w:rPr>
      <w:lang w:val="ru-RU" w:eastAsia="ru-RU" w:bidi="ru-RU"/>
      <w:sz w:val="24"/>
      <w:szCs w:val="24"/>
      <w:w w:val="100"/>
      <w:spacing w:val="0"/>
      <w:color w:val="000000"/>
      <w:position w:val="0"/>
    </w:rPr>
  </w:style>
  <w:style w:type="character" w:customStyle="1" w:styleId="CharStyle12">
    <w:name w:val="Основной текст"/>
    <w:basedOn w:val="CharStyle4"/>
    <w:rPr>
      <w:lang w:val="ru-RU" w:eastAsia="ru-RU" w:bidi="ru-RU"/>
      <w:sz w:val="24"/>
      <w:szCs w:val="24"/>
      <w:w w:val="100"/>
      <w:spacing w:val="0"/>
      <w:color w:val="000000"/>
      <w:position w:val="0"/>
    </w:rPr>
  </w:style>
  <w:style w:type="character" w:customStyle="1" w:styleId="CharStyle13">
    <w:name w:val="Основной текст + 13 pt,Курсив"/>
    <w:basedOn w:val="CharStyle4"/>
    <w:rPr>
      <w:lang w:val="ru-RU" w:eastAsia="ru-RU" w:bidi="ru-RU"/>
      <w:i/>
      <w:iCs/>
      <w:sz w:val="26"/>
      <w:szCs w:val="26"/>
      <w:w w:val="100"/>
      <w:spacing w:val="0"/>
      <w:color w:val="000000"/>
      <w:position w:val="0"/>
    </w:rPr>
  </w:style>
  <w:style w:type="character" w:customStyle="1" w:styleId="CharStyle14">
    <w:name w:val="Основной текст"/>
    <w:basedOn w:val="CharStyle4"/>
    <w:rPr>
      <w:lang w:val="ru-RU" w:eastAsia="ru-RU" w:bidi="ru-RU"/>
      <w:sz w:val="24"/>
      <w:szCs w:val="24"/>
      <w:w w:val="100"/>
      <w:spacing w:val="0"/>
      <w:color w:val="000000"/>
      <w:position w:val="0"/>
    </w:rPr>
  </w:style>
  <w:style w:type="character" w:customStyle="1" w:styleId="CharStyle15">
    <w:name w:val="Основной текст + 11 pt"/>
    <w:basedOn w:val="CharStyle4"/>
    <w:rPr>
      <w:lang w:val="ru-RU" w:eastAsia="ru-RU" w:bidi="ru-RU"/>
      <w:sz w:val="22"/>
      <w:szCs w:val="22"/>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6">
    <w:name w:val="Заголовок №1"/>
    <w:basedOn w:val="Normal"/>
    <w:link w:val="CharStyle7"/>
    <w:pPr>
      <w:widowControl w:val="0"/>
      <w:shd w:val="clear" w:color="auto" w:fill="FFFFFF"/>
      <w:jc w:val="right"/>
      <w:outlineLvl w:val="0"/>
      <w:spacing w:before="1020" w:line="0" w:lineRule="exact"/>
    </w:pPr>
    <w:rPr>
      <w:b w:val="0"/>
      <w:bCs w:val="0"/>
      <w:i w:val="0"/>
      <w:iCs w:val="0"/>
      <w:u w:val="none"/>
      <w:strike w:val="0"/>
      <w:smallCaps w:val="0"/>
      <w:sz w:val="28"/>
      <w:szCs w:val="28"/>
      <w:rFonts w:ascii="Times New Roman" w:eastAsia="Times New Roman" w:hAnsi="Times New Roman" w:cs="Times New Roman"/>
      <w:spacing w:val="80"/>
    </w:rPr>
  </w:style>
  <w:style w:type="paragraph" w:customStyle="1" w:styleId="Style9">
    <w:name w:val="Заголовок №2"/>
    <w:basedOn w:val="Normal"/>
    <w:link w:val="CharStyle10"/>
    <w:pPr>
      <w:widowControl w:val="0"/>
      <w:shd w:val="clear" w:color="auto" w:fill="FFFFFF"/>
      <w:jc w:val="both"/>
      <w:outlineLvl w:val="1"/>
      <w:spacing w:line="317"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