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footerReference w:type="default" r:id="rId7"/>
          <w:footnotePr>
            <w:pos w:val="pageBottom"/>
            <w:numFmt w:val="decimal"/>
            <w:numRestart w:val="continuous"/>
          </w:footnotePr>
          <w:pgSz w:w="11900" w:h="16840"/>
          <w:pgMar w:top="390" w:right="536" w:bottom="650" w:left="1106" w:header="0" w:footer="3" w:gutter="0"/>
          <w:pgNumType w:start="1"/>
          <w:cols w:space="720"/>
          <w:noEndnote/>
          <w:rtlGutter w:val="0"/>
          <w:docGrid w:linePitch="360"/>
        </w:sectPr>
      </w:pPr>
    </w:p>
    <w:p>
      <w:pPr>
        <w:pStyle w:val="Style9"/>
        <w:keepNext w:val="0"/>
        <w:keepLines w:val="0"/>
        <w:widowControl w:val="0"/>
        <w:shd w:val="clear" w:color="auto" w:fill="auto"/>
        <w:bidi w:val="0"/>
        <w:spacing w:before="0" w:after="280" w:line="240" w:lineRule="auto"/>
        <w:ind w:left="104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723900</wp:posOffset>
                </wp:positionH>
                <wp:positionV relativeFrom="paragraph">
                  <wp:posOffset>25400</wp:posOffset>
                </wp:positionV>
                <wp:extent cx="2578735" cy="2182495"/>
                <wp:wrapSquare wrapText="right"/>
                <wp:docPr id="5" name="Shape 5"/>
                <a:graphic xmlns:a="http://schemas.openxmlformats.org/drawingml/2006/main">
                  <a:graphicData uri="http://schemas.microsoft.com/office/word/2010/wordprocessingShape">
                    <wps:wsp>
                      <wps:cNvSpPr txBox="1"/>
                      <wps:spPr>
                        <a:xfrm>
                          <a:ext cx="2578735" cy="2182495"/>
                        </a:xfrm>
                        <a:prstGeom prst="rect"/>
                        <a:noFill/>
                      </wps:spPr>
                      <wps:txbx>
                        <w:txbxContent>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1о77@Га8.еоу.ш</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1" type="#_x0000_t202" style="position:absolute;margin-left:57.pt;margin-top:2.pt;width:203.05000000000001pt;height:171.84999999999999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1о77@Га8.еоу.ш</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r>
        <w:rPr>
          <w:color w:val="000000"/>
          <w:spacing w:val="0"/>
          <w:w w:val="100"/>
          <w:position w:val="0"/>
          <w:shd w:val="clear" w:color="auto" w:fill="auto"/>
          <w:lang w:val="ru-RU" w:eastAsia="ru-RU" w:bidi="ru-RU"/>
        </w:rPr>
        <w:t>ФГБУ «ЦЛАТИ по ЦФО»</w:t>
      </w:r>
    </w:p>
    <w:p>
      <w:pPr>
        <w:pStyle w:val="Style9"/>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8.ткуакт@с1ай-с&amp;.ги</w:t>
      </w:r>
    </w:p>
    <w:p>
      <w:pPr>
        <w:pStyle w:val="Style9"/>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ООО «ПЕРГУШЕВ ГРУПП»</w:t>
      </w:r>
    </w:p>
    <w:p>
      <w:pPr>
        <w:pStyle w:val="Style9"/>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89606460159@та1.ги, 7009988@та1.ги</w:t>
      </w:r>
    </w:p>
    <w:p>
      <w:pPr>
        <w:pStyle w:val="Style9"/>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АО «Сбербанк-АСТ»</w:t>
      </w:r>
    </w:p>
    <w:p>
      <w:pPr>
        <w:pStyle w:val="Style9"/>
        <w:keepNext w:val="0"/>
        <w:keepLines w:val="0"/>
        <w:widowControl w:val="0"/>
        <w:shd w:val="clear" w:color="auto" w:fill="auto"/>
        <w:bidi w:val="0"/>
        <w:spacing w:before="0" w:after="540" w:line="240" w:lineRule="auto"/>
        <w:ind w:left="1040" w:right="0" w:firstLine="0"/>
        <w:jc w:val="left"/>
      </w:pPr>
      <w:r>
        <w:rPr>
          <w:color w:val="000000"/>
          <w:spacing w:val="0"/>
          <w:w w:val="100"/>
          <w:position w:val="0"/>
          <w:shd w:val="clear" w:color="auto" w:fill="auto"/>
          <w:lang w:val="ru-RU" w:eastAsia="ru-RU" w:bidi="ru-RU"/>
        </w:rPr>
        <w:t>т&amp;@8ЪегЪапк-а8Гги</w:t>
      </w:r>
    </w:p>
    <w:p>
      <w:pPr>
        <w:pStyle w:val="Style11"/>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9"/>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077/06/106-5237/2023 о нарушении</w:t>
        <w:br/>
        <w:t>законодательства о контрактной системе</w:t>
        <w:br/>
        <w:t>21.04.2023</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Н.С. Лушниковой,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w:t>
        <w:softHyphen/>
        <w:t>пок Э.З. Гугава,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w:t>
        <w:softHyphen/>
        <w:t>ренцсвязи) в целях исполнения Указа Мэра Москвы от 25.09.2020 № 92-УМ «О внесении изменений в правовые акты города Москвы» и предупре</w:t>
        <w:softHyphen/>
        <w:t>ждения распространения в городе Москве инфекции, вызванной коронавирусом 2019-пСоЧ</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ФГБУ «ЦЛАТИ по ЦФО»: Д.В. Шохина (по дов.№345 от 17.04.2023), С.В. Мизяйкина (по дов.№267 от 16.01.2023), А.В. Курочкина (по дов.№346 от 17.04.2023),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«ПЕРГУШЕВ ГРУПП»: В.А. Тищенко (по дов.№б/н от 19.04.2023),</w:t>
      </w:r>
    </w:p>
    <w:p>
      <w:pPr>
        <w:pStyle w:val="Style9"/>
        <w:keepNext w:val="0"/>
        <w:keepLines w:val="0"/>
        <w:widowControl w:val="0"/>
        <w:shd w:val="clear" w:color="auto" w:fill="auto"/>
        <w:bidi w:val="0"/>
        <w:spacing w:before="0" w:after="540" w:line="240" w:lineRule="auto"/>
        <w:ind w:left="0" w:right="0" w:firstLine="700"/>
        <w:jc w:val="both"/>
      </w:pPr>
      <w:r>
        <w:rPr>
          <w:color w:val="000000"/>
          <w:spacing w:val="0"/>
          <w:w w:val="100"/>
          <w:position w:val="0"/>
          <w:shd w:val="clear" w:color="auto" w:fill="auto"/>
          <w:lang w:val="ru-RU" w:eastAsia="ru-RU" w:bidi="ru-RU"/>
        </w:rPr>
        <w:t>рассмотрев жалобу ООО «ПЕРГУШЕВ ГРУПП» (далее - Заявитель) на действия ФГБУ «ЦЛАТИ по ЦФО» (далее — Заказчик) при проведении электронного аукциона на право заключения государственного контракта на поставку газоанализатор Полар (или эквивалент) для нужд ФГБУ «ЦЛАТИ по ЦФО» (03-02) (Закупка № 0373100052923000023) (далее - электронный аукцион, аукцион) в соответствии с Федеральным законом от 05.04.2013 №44-ФЗ «О контрактной</w:t>
      </w:r>
    </w:p>
    <w:p>
      <w:pPr>
        <w:pStyle w:val="Style14"/>
        <w:keepNext w:val="0"/>
        <w:keepLines w:val="0"/>
        <w:widowControl w:val="0"/>
        <w:shd w:val="clear" w:color="auto" w:fill="auto"/>
        <w:bidi w:val="0"/>
        <w:spacing w:before="0" w:line="240" w:lineRule="auto"/>
        <w:ind w:left="0" w:right="0"/>
        <w:jc w:val="left"/>
        <w:sectPr>
          <w:footnotePr>
            <w:pos w:val="pageBottom"/>
            <w:numFmt w:val="decimal"/>
            <w:numRestart w:val="continuous"/>
          </w:footnotePr>
          <w:type w:val="continuous"/>
          <w:pgSz w:w="11900" w:h="16840"/>
          <w:pgMar w:top="390" w:right="536" w:bottom="622" w:left="1106" w:header="0" w:footer="3" w:gutter="0"/>
          <w:cols w:space="720"/>
          <w:noEndnote/>
          <w:rtlGutter w:val="0"/>
          <w:docGrid w:linePitch="360"/>
        </w:sectPr>
      </w:pP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запрашиваемые письмом Московского УФАС России №ЕИ/16940/23 от 19.04.2023 документы и сведения.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на то, что Заказчиком неправомерно не применены положения постановления Правительства Российской Федерации от 08.02.2017 № 145, которым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в части описания объекта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п.1,2 ч.1 ст.33 Закона о контрактной системе заказчик при описании объекта закупки должен руководствоваться следующими правилами: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shd w:val="clear" w:color="auto" w:fill="auto"/>
        <w:bidi w:val="0"/>
        <w:spacing w:before="0" w:after="0" w:line="360" w:lineRule="auto"/>
        <w:ind w:left="0" w:right="0" w:firstLine="700"/>
        <w:jc w:val="both"/>
        <w:rPr>
          <w:sz w:val="22"/>
          <w:szCs w:val="22"/>
        </w:rPr>
        <w:sectPr>
          <w:headerReference w:type="default" r:id="rId8"/>
          <w:footerReference w:type="default" r:id="rId9"/>
          <w:footnotePr>
            <w:pos w:val="pageBottom"/>
            <w:numFmt w:val="decimal"/>
            <w:numRestart w:val="continuous"/>
          </w:footnotePr>
          <w:pgSz w:w="11900" w:h="16840"/>
          <w:pgMar w:top="1162" w:right="532" w:bottom="591" w:left="1106" w:header="0" w:footer="16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2) использование при составлении описания объекта закупки показателей, </w:t>
      </w:r>
      <w:r>
        <w:rPr>
          <w:rFonts w:ascii="Cambria" w:eastAsia="Cambria" w:hAnsi="Cambria" w:cs="Cambria"/>
          <w:color w:val="000000"/>
          <w:spacing w:val="0"/>
          <w:w w:val="100"/>
          <w:position w:val="0"/>
          <w:sz w:val="22"/>
          <w:szCs w:val="22"/>
          <w:shd w:val="clear" w:color="auto" w:fill="auto"/>
          <w:lang w:val="ru-RU" w:eastAsia="ru-RU" w:bidi="ru-RU"/>
        </w:rPr>
        <w:t>2022-42505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изменению извещения о проведении электронного аукциона от 12.04.2023 №ИИ2, при описании закупаемого товара «Стерилизатор проходной паровой», Заказчиком использовался код ОКПД2: 26.51.53.110 «Газоанализаторы или дымоанализаторы».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основании п.4 Правил использования КТРУ Заказчики обязаны применять </w:t>
      </w:r>
      <w:r>
        <w:rPr>
          <w:color w:val="000000"/>
          <w:spacing w:val="0"/>
          <w:w w:val="100"/>
          <w:position w:val="0"/>
          <w:shd w:val="clear" w:color="auto" w:fill="auto"/>
          <w:lang w:val="ru-RU" w:eastAsia="ru-RU" w:bidi="ru-RU"/>
        </w:rPr>
        <w:t>информацию, включенную в позицию каталога в соответствии с подпунктами «б» - «и» п.10 Правил формирования КТРУ.</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w:t>
      </w:r>
      <w:r>
        <w:rPr>
          <w:i/>
          <w:iCs/>
          <w:color w:val="000000"/>
          <w:spacing w:val="0"/>
          <w:w w:val="100"/>
          <w:position w:val="0"/>
          <w:shd w:val="clear" w:color="auto" w:fill="auto"/>
          <w:lang w:val="ru-RU" w:eastAsia="ru-RU" w:bidi="ru-RU"/>
        </w:rPr>
        <w:t>за исключением случаев:</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Pr>
          <w:color w:val="000000"/>
          <w:spacing w:val="0"/>
          <w:w w:val="100"/>
          <w:position w:val="0"/>
          <w:shd w:val="clear" w:color="auto" w:fill="auto"/>
          <w:lang w:val="ru-RU" w:eastAsia="ru-RU" w:bidi="ru-RU"/>
        </w:rPr>
        <w:t xml:space="preserve"> (далее — Постановление №878).</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В силу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w:t>
      </w:r>
      <w:r>
        <w:rPr>
          <w:color w:val="000000"/>
          <w:spacing w:val="0"/>
          <w:w w:val="100"/>
          <w:position w:val="0"/>
          <w:shd w:val="clear" w:color="auto" w:fill="auto"/>
          <w:lang w:val="ru-RU" w:eastAsia="ru-RU" w:bidi="ru-RU"/>
        </w:rPr>
        <w:t>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Комиссией Управления установлено, что извещением о проведении закупочной процедуры установлено ограничения для целей осуществления закупок для обеспечения государственных и муниципальных нужд в соответствии с положениями Постановления №878.</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tabs>
          <w:tab w:pos="3662" w:val="left"/>
          <w:tab w:pos="733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Заказчик при описании объекта закупки обязан был применить коды КТРУ 26.51.53.000-00000001,</w:t>
        <w:tab/>
        <w:t>26.51.53.000-00000002,</w:t>
        <w:tab/>
        <w:t>26.51.53.000-00000003,</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26.51.53.000-00000004 «Газоанализатор», и всю информацию применимую по данной позиции.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Заказчик в силу п.5 Правил использования КТРУ не вправе устанавливать к закупаемому оборудованию по вышеуказанным кодам дополнительные характеристики, поскольку закупаемое оборудование включено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Заказчиком по аукциону установлены ограничения допуска в рамках постановления № 878.</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tabs>
          <w:tab w:pos="167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 согласившись с доводами жалобы представитель Заказчика пояснил, что существующие позиции КТРУ, в том числе указанные Заявителем позиции КТРУ коды КТРУ 26.51.53.000-00000001, 26.51.53.000-00000002, 26.51.53.000</w:t>
        <w:softHyphen/>
        <w:t>00000003,</w:t>
        <w:tab/>
        <w:t>26.51.53.000-00000004 «Газоанализатор», не учитывают</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ключевые характеристики, необходимые Заказчику.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Например, данные позиции содержат такую характеристику как «Виды обнаруживаемых газов», значения которой следующие: «Окись этилена. Пары бензина. Пары керосина. Пары этанола. Природный газ. Пропилен. Сероводород. Технические растворители. Угарный газ. Углекислый газ. Формальдегид. Хладагенты ряда СТС. Хладагенты ряда НСТС. Хладагенты ряда НЕС. Этилен. Метан. Бутан. Пропан. Кислород. Углерод. Аммиак. Ацетилен. Бутилен. Водород. Дым», но отсутствует указание на диоксид азота, оксид азота, диоксид серы, который закупаемый прибор должен обнаруживать для удовлетворения </w:t>
      </w:r>
      <w:r>
        <w:rPr>
          <w:color w:val="000000"/>
          <w:spacing w:val="0"/>
          <w:w w:val="100"/>
          <w:position w:val="0"/>
          <w:shd w:val="clear" w:color="auto" w:fill="auto"/>
          <w:lang w:val="ru-RU" w:eastAsia="ru-RU" w:bidi="ru-RU"/>
        </w:rPr>
        <w:t>потребности Заказчика.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положений норм Закона о контрактной системе следует, что Заказчик вправе включить в извещение о проведении электронного аукциона такие характеристики объекта закупки,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электронного аукциона. Законом о контрактной системе не предусмотрены ограничения по включению в извещение электронного аукциона требований к объекту закупки, являющимися значимыми для заказчика. 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объекта закупки, в наибольшей степени удовлетворяющих его потребности.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Заказчиком описаны технические характеристики составлены в соответствии с положениями ст. 33 Закона о контрактной системе, а также с учетом положений п.7 Правил использования КТРУ.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обязанность доказывания нарушения Заказчиком своих прав и законных интересов лежит на подателе жалобы, однако на заседание Комиссии Управления представителем Заявителя не представлено документов и сведений, подтверждающих тот факт, что установленные требования к закупаемым товарам являются неправомерными, а также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2.Согласно доводам Заявителя описание товара по п.2 сформировано Заказчиком в нарушение п.1 ч.1 ст.33 Закона о контрактной системе, поскольку сочетание слов «Полар Универсал» модификации «Полар Универсал Т» не является товарным знаком и их сопровождение словами «или эквивалент» недопустимо, что препятствует формированию заявки на участие в закупке.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Заявитель указывает на аналогичные нарушения Заказчика при формировании описания товаров по п.1, пп.3-8.</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Комиссией Управления установлено, что, к примеру, по п. 1 определен к поставке товар: «Газоанализатор «Полар Универсал» модификации «Полар Универсал Т» </w:t>
      </w:r>
      <w:r>
        <w:rPr>
          <w:i/>
          <w:iCs/>
          <w:color w:val="000000"/>
          <w:spacing w:val="0"/>
          <w:w w:val="100"/>
          <w:position w:val="0"/>
          <w:shd w:val="clear" w:color="auto" w:fill="auto"/>
          <w:lang w:val="ru-RU" w:eastAsia="ru-RU" w:bidi="ru-RU"/>
        </w:rPr>
        <w:t>(или эквивалент)</w:t>
      </w:r>
      <w:r>
        <w:rPr>
          <w:color w:val="000000"/>
          <w:spacing w:val="0"/>
          <w:w w:val="100"/>
          <w:position w:val="0"/>
          <w:shd w:val="clear" w:color="auto" w:fill="auto"/>
          <w:lang w:val="ru-RU" w:eastAsia="ru-RU" w:bidi="ru-RU"/>
        </w:rPr>
        <w:t>, прошедший первичную поверку, в базовой комплектации с дополнительными элементами поставки».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словесные обозначения («Полар» модификаций «Полар Ех Т», «Полар Т», «Полар Универсал» модификаций «Полар Универсал Т», «Полар Универсал Ех Т») не зарегистрированы в качестве товарного знака в Российской Федерации и пока товарный знак не зарегистрирован, в том числе в период после подачи заявки на регистрацию, третьи лица вправе использовать тождественные или сходные до степени смешения с этим товарным знаком обозначения. Любой поставщик или </w:t>
      </w:r>
      <w:r>
        <w:rPr>
          <w:color w:val="000000"/>
          <w:spacing w:val="0"/>
          <w:w w:val="100"/>
          <w:position w:val="0"/>
          <w:shd w:val="clear" w:color="auto" w:fill="auto"/>
          <w:lang w:val="ru-RU" w:eastAsia="ru-RU" w:bidi="ru-RU"/>
        </w:rPr>
        <w:t>производитель вправе использовать данные словесные обозначения до момента его регистрации в качестве товарного знака, а значит, их использование при описании объекта закупки не образует указание на конкретного производителя и его фирменное наименование, ввиду чего Заказчиком использовал слова «или эквивалент» и подробно описал параметры этой эквивалентности.</w:t>
      </w:r>
    </w:p>
    <w:p>
      <w:pPr>
        <w:pStyle w:val="Style9"/>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Вместе с тем Комиссия Управления отмечает, что в соответствии со ст.33 Закона о контрактной системе Заказчик не вправе устанавливать «или эквивалент» к наименованию, которое не является зарегистрированным товарным знаком.</w:t>
      </w:r>
    </w:p>
    <w:p>
      <w:pPr>
        <w:pStyle w:val="Style9"/>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 настоящем случае в материалы дела не представлено доказательств, что оспариваемые совестные обозначения газоанализатора «Полар Универсал» являются товарными знаками.</w:t>
      </w:r>
    </w:p>
    <w:p>
      <w:pPr>
        <w:pStyle w:val="Style9"/>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признании данного довода жалобы обоснованным и о нарушении Заказчиком п.1 ч.1 ст.33 Закона о контрактной системе ввиду формального противоречия требования вышеуказанной нормы и содержат признаки состава административного правонарушения, предусмотренного ч. 1.4 ст. 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19.04.2023 №ИЭА1 на участие в закупке подана 1 заявка, что свидетельствует о возможности формирования заявки на основании установленных Заказчиком требований к закупаемым товарам.</w:t>
      </w:r>
    </w:p>
    <w:p>
      <w:pPr>
        <w:pStyle w:val="Style9"/>
        <w:keepNext w:val="0"/>
        <w:keepLines w:val="0"/>
        <w:widowControl w:val="0"/>
        <w:shd w:val="clear" w:color="auto" w:fill="auto"/>
        <w:bidi w:val="0"/>
        <w:spacing w:before="0" w:after="180" w:line="240" w:lineRule="auto"/>
        <w:ind w:left="0" w:right="0" w:firstLine="8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1"/>
        </w:numPr>
        <w:shd w:val="clear" w:color="auto" w:fill="auto"/>
        <w:tabs>
          <w:tab w:pos="978"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.Признать жалобу ООО «ПЕРГУШЕВ ГРУПП» на действия ФГБУ «ЦЛАТИ по ЦФО» обоснованной в части сопровождения словами «или эквивалент» наименований, не являющихся товарным знаком.</w:t>
      </w:r>
    </w:p>
    <w:p>
      <w:pPr>
        <w:pStyle w:val="Style9"/>
        <w:keepNext w:val="0"/>
        <w:keepLines w:val="0"/>
        <w:widowControl w:val="0"/>
        <w:numPr>
          <w:ilvl w:val="0"/>
          <w:numId w:val="1"/>
        </w:numPr>
        <w:shd w:val="clear" w:color="auto" w:fill="auto"/>
        <w:tabs>
          <w:tab w:pos="992"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.Признать в действиях Заказчика нарушение п.1 ч.1 ст.33 Закона о контрактной системе.</w:t>
      </w:r>
    </w:p>
    <w:p>
      <w:pPr>
        <w:pStyle w:val="Style9"/>
        <w:keepNext w:val="0"/>
        <w:keepLines w:val="0"/>
        <w:widowControl w:val="0"/>
        <w:numPr>
          <w:ilvl w:val="0"/>
          <w:numId w:val="1"/>
        </w:numPr>
        <w:shd w:val="clear" w:color="auto" w:fill="auto"/>
        <w:tabs>
          <w:tab w:pos="987" w:val="left"/>
        </w:tabs>
        <w:bidi w:val="0"/>
        <w:spacing w:before="0" w:after="180" w:line="240" w:lineRule="auto"/>
        <w:ind w:left="0" w:right="0" w:firstLine="8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не выдавать, так как выявленные нарушения не повлияли на результат определения поставщика (подрядчика, исполнителя).</w:t>
      </w:r>
    </w:p>
    <w:p>
      <w:pPr>
        <w:pStyle w:val="Style9"/>
        <w:keepNext w:val="0"/>
        <w:keepLines w:val="0"/>
        <w:widowControl w:val="0"/>
        <w:shd w:val="clear" w:color="auto" w:fill="auto"/>
        <w:bidi w:val="0"/>
        <w:spacing w:before="0" w:after="180" w:line="240" w:lineRule="auto"/>
        <w:ind w:left="0" w:right="0" w:firstLine="8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9"/>
        <w:keepNext w:val="0"/>
        <w:keepLines w:val="0"/>
        <w:widowControl w:val="0"/>
        <w:shd w:val="clear" w:color="auto" w:fill="auto"/>
        <w:tabs>
          <w:tab w:pos="8326"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Председательствующий</w:t>
        <w:tab/>
        <w:t>Е.А. Миронова</w:t>
      </w:r>
    </w:p>
    <w:p>
      <w:pPr>
        <w:pStyle w:val="Style9"/>
        <w:keepNext w:val="0"/>
        <w:keepLines w:val="0"/>
        <w:widowControl w:val="0"/>
        <w:shd w:val="clear" w:color="auto" w:fill="auto"/>
        <w:tabs>
          <w:tab w:pos="8326" w:val="left"/>
        </w:tabs>
        <w:bidi w:val="0"/>
        <w:spacing w:before="0" w:after="0" w:line="240" w:lineRule="auto"/>
        <w:ind w:left="0" w:right="0" w:firstLine="0"/>
        <w:jc w:val="both"/>
      </w:pPr>
      <w:r>
        <w:rPr>
          <w:color w:val="000000"/>
          <w:spacing w:val="0"/>
          <w:w w:val="100"/>
          <w:position w:val="0"/>
          <w:shd w:val="clear" w:color="auto" w:fill="auto"/>
          <w:lang w:val="ru-RU" w:eastAsia="ru-RU" w:bidi="ru-RU"/>
        </w:rPr>
        <w:t>Члены Комиссии:</w:t>
        <w:tab/>
        <w:t>Н.С. Лушникова</w:t>
      </w:r>
    </w:p>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Э.З. Гугава</w:t>
      </w:r>
    </w:p>
    <w:p>
      <w:pPr>
        <w:pStyle w:val="Style1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 Гугава Эдуард Звиадович</w:t>
      </w:r>
    </w:p>
    <w:p>
      <w:pPr>
        <w:pStyle w:val="Style19"/>
        <w:keepNext w:val="0"/>
        <w:keepLines w:val="0"/>
        <w:widowControl w:val="0"/>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8 (495)784-75-05</w:t>
      </w:r>
    </w:p>
    <w:sectPr>
      <w:headerReference w:type="default" r:id="rId10"/>
      <w:footerReference w:type="default" r:id="rId11"/>
      <w:footnotePr>
        <w:pos w:val="pageBottom"/>
        <w:numFmt w:val="decimal"/>
        <w:numRestart w:val="continuous"/>
      </w:footnotePr>
      <w:pgSz w:w="11900" w:h="16840"/>
      <w:pgMar w:top="1162" w:right="511" w:bottom="1114" w:left="104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723900</wp:posOffset>
              </wp:positionH>
              <wp:positionV relativeFrom="page">
                <wp:posOffset>10217150</wp:posOffset>
              </wp:positionV>
              <wp:extent cx="719455" cy="100330"/>
              <wp:wrapNone/>
              <wp:docPr id="3" name="Shape 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2022-42505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804.5pt;width:56.649999999999999pt;height:7.90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2022-42505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749300</wp:posOffset>
              </wp:positionH>
              <wp:positionV relativeFrom="page">
                <wp:posOffset>10092690</wp:posOffset>
              </wp:positionV>
              <wp:extent cx="722630" cy="100330"/>
              <wp:wrapNone/>
              <wp:docPr id="11" name="Shape 1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2022-42505</w:t>
                          </w:r>
                        </w:p>
                      </w:txbxContent>
                    </wps:txbx>
                    <wps:bodyPr wrap="none" lIns="0" tIns="0" rIns="0" bIns="0">
                      <a:spAutoFit/>
                    </wps:bodyPr>
                  </wps:wsp>
                </a:graphicData>
              </a:graphic>
            </wp:anchor>
          </w:drawing>
        </mc:Choice>
        <mc:Fallback>
          <w:pict>
            <v:shape id="_x0000_s1037" type="#_x0000_t202" style="position:absolute;margin-left:59.pt;margin-top:794.70000000000005pt;width:56.899999999999999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2022-42505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3924300</wp:posOffset>
              </wp:positionH>
              <wp:positionV relativeFrom="page">
                <wp:posOffset>476250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pt;margin-top:37.5pt;width:5.2999999999999998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3949700</wp:posOffset>
              </wp:positionH>
              <wp:positionV relativeFrom="page">
                <wp:posOffset>476250</wp:posOffset>
              </wp:positionV>
              <wp:extent cx="64135" cy="103505"/>
              <wp:wrapNone/>
              <wp:docPr id="9" name="Shape 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11.pt;margin-top:37.5pt;width:5.04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160A9"/>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Заголовок №1_"/>
    <w:basedOn w:val="DefaultParagraphFont"/>
    <w:link w:val="Style11"/>
    <w:rPr>
      <w:rFonts w:ascii="Times New Roman" w:eastAsia="Times New Roman" w:hAnsi="Times New Roman" w:cs="Times New Roman"/>
      <w:b/>
      <w:bCs/>
      <w:i w:val="0"/>
      <w:iCs w:val="0"/>
      <w:smallCaps w:val="0"/>
      <w:strike w:val="0"/>
      <w:sz w:val="28"/>
      <w:szCs w:val="28"/>
      <w:u w:val="none"/>
    </w:rPr>
  </w:style>
  <w:style w:type="character" w:customStyle="1" w:styleId="CharStyle15">
    <w:name w:val="Основной текст (4)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0">
    <w:name w:val="Основной текст (3)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160A9"/>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Заголовок №1"/>
    <w:basedOn w:val="Normal"/>
    <w:link w:val="CharStyle12"/>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4">
    <w:name w:val="Основной текст (4)"/>
    <w:basedOn w:val="Normal"/>
    <w:link w:val="CharStyle15"/>
    <w:pPr>
      <w:widowControl w:val="0"/>
      <w:shd w:val="clear" w:color="auto" w:fill="auto"/>
      <w:spacing w:after="280"/>
      <w:ind w:firstLine="360"/>
    </w:pPr>
    <w:rPr>
      <w:rFonts w:ascii="Arial" w:eastAsia="Arial" w:hAnsi="Arial" w:cs="Arial"/>
      <w:b w:val="0"/>
      <w:bCs w:val="0"/>
      <w:i w:val="0"/>
      <w:iCs w:val="0"/>
      <w:smallCaps w:val="0"/>
      <w:strike w:val="0"/>
      <w:sz w:val="34"/>
      <w:szCs w:val="34"/>
      <w:u w:val="none"/>
    </w:rPr>
  </w:style>
  <w:style w:type="paragraph" w:customStyle="1" w:styleId="Style19">
    <w:name w:val="Основной текст (3)"/>
    <w:basedOn w:val="Normal"/>
    <w:link w:val="CharStyle20"/>
    <w:pPr>
      <w:widowControl w:val="0"/>
      <w:shd w:val="clear" w:color="auto" w:fill="auto"/>
      <w:spacing w:after="9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s>
</file>