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87" w:h="454" w:wrap="none" w:hAnchor="page" w:x="1855" w:y="1142"/>
        <w:widowControl w:val="0"/>
        <w:shd w:val="clear" w:color="auto" w:fill="auto"/>
        <w:bidi w:val="0"/>
        <w:spacing w:before="0" w:after="4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2"/>
        <w:keepNext w:val="0"/>
        <w:keepLines w:val="0"/>
        <w:framePr w:w="2887" w:h="454" w:wrap="none" w:hAnchor="page" w:x="1855" w:y="1142"/>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2"/>
        <w:keepNext w:val="0"/>
        <w:keepLines w:val="0"/>
        <w:framePr w:w="3539" w:h="1807" w:wrap="none" w:hAnchor="page" w:x="1535" w:y="1751"/>
        <w:widowControl w:val="0"/>
        <w:shd w:val="clear" w:color="auto" w:fill="auto"/>
        <w:bidi w:val="0"/>
        <w:spacing w:before="0" w:after="0"/>
        <w:ind w:left="0" w:right="0" w:firstLine="0"/>
        <w:jc w:val="center"/>
      </w:pPr>
      <w:r>
        <w:rPr>
          <w:b/>
          <w:bCs/>
          <w:color w:val="000000"/>
          <w:spacing w:val="0"/>
          <w:w w:val="100"/>
          <w:position w:val="0"/>
          <w:sz w:val="19"/>
          <w:szCs w:val="19"/>
          <w:shd w:val="clear" w:color="auto" w:fill="auto"/>
          <w:lang w:val="ru-RU" w:eastAsia="ru-RU" w:bidi="ru-RU"/>
        </w:rPr>
        <w:t>УПРАВЛЕНИЕ</w:t>
        <w:br/>
        <w:t>Федеральной антимонопольной службы</w:t>
        <w:br/>
        <w:t>но Республике Карелия</w:t>
        <w:br/>
      </w:r>
      <w:r>
        <w:rPr>
          <w:color w:val="000000"/>
          <w:spacing w:val="0"/>
          <w:w w:val="100"/>
          <w:position w:val="0"/>
          <w:shd w:val="clear" w:color="auto" w:fill="auto"/>
          <w:lang w:val="ru-RU" w:eastAsia="ru-RU" w:bidi="ru-RU"/>
        </w:rPr>
        <w:t>наб. Вар1 луса, 1 а. г. Пехррляодск,</w:t>
        <w:br/>
        <w:t>Р&gt;-сиуб'-'--2 Карелия, 185031</w:t>
        <w:br/>
        <w:t>Пйчтсвътй адрес: а/я243. г. Пстри^авод. к. 185035</w:t>
        <w:br/>
        <w:t>тел'факс (§142) 78-44-30</w:t>
        <w:br/>
        <w:t xml:space="preserve">е-та:1: ю! </w:t>
      </w:r>
      <w:r>
        <w:rPr>
          <w:color w:val="000000"/>
          <w:spacing w:val="0"/>
          <w:w w:val="100"/>
          <w:position w:val="0"/>
          <w:shd w:val="clear" w:color="auto" w:fill="auto"/>
          <w:vertAlign w:val="superscript"/>
          <w:lang w:val="ru-RU" w:eastAsia="ru-RU" w:bidi="ru-RU"/>
        </w:rPr>
        <w:t>,</w:t>
      </w:r>
      <w:r>
        <w:rPr>
          <w:color w:val="000000"/>
          <w:spacing w:val="0"/>
          <w:w w:val="100"/>
          <w:position w:val="0"/>
          <w:shd w:val="clear" w:color="auto" w:fill="auto"/>
          <w:lang w:val="ru-RU" w:eastAsia="ru-RU" w:bidi="ru-RU"/>
        </w:rPr>
        <w:t>'\б‘,Га5.^у.ги</w:t>
      </w:r>
    </w:p>
    <w:p>
      <w:pPr>
        <w:pStyle w:val="Style6"/>
        <w:keepNext w:val="0"/>
        <w:keepLines w:val="0"/>
        <w:framePr w:w="1904" w:h="302" w:wrap="none" w:hAnchor="page" w:x="1560" w:y="3677"/>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ЯЛ V</w:t>
      </w:r>
      <w:r>
        <w:rPr>
          <w:spacing w:val="0"/>
          <w:w w:val="100"/>
          <w:position w:val="0"/>
          <w:shd w:val="clear" w:color="auto" w:fill="auto"/>
          <w:vertAlign w:val="superscript"/>
          <w:lang w:val="ru-RU" w:eastAsia="ru-RU" w:bidi="ru-RU"/>
        </w:rPr>
        <w:t>е</w:t>
      </w:r>
      <w:r>
        <w:rPr>
          <w:spacing w:val="0"/>
          <w:w w:val="100"/>
          <w:position w:val="0"/>
          <w:shd w:val="clear" w:color="auto" w:fill="auto"/>
          <w:lang w:val="ru-RU" w:eastAsia="ru-RU" w:bidi="ru-RU"/>
        </w:rPr>
        <w:t>/.</w:t>
      </w:r>
      <w:r>
        <w:rPr>
          <w:spacing w:val="0"/>
          <w:w w:val="100"/>
          <w:position w:val="0"/>
          <w:u w:val="none"/>
          <w:shd w:val="clear" w:color="auto" w:fill="auto"/>
          <w:lang w:val="ru-RU" w:eastAsia="ru-RU" w:bidi="ru-RU"/>
        </w:rPr>
        <w:t xml:space="preserve"> </w:t>
      </w:r>
      <w:r>
        <w:rPr>
          <w:color w:val="000000"/>
          <w:spacing w:val="0"/>
          <w:w w:val="100"/>
          <w:position w:val="0"/>
          <w:u w:val="none"/>
          <w:shd w:val="clear" w:color="auto" w:fill="auto"/>
          <w:lang w:val="ru-RU" w:eastAsia="ru-RU" w:bidi="ru-RU"/>
        </w:rPr>
        <w:t>№</w:t>
      </w:r>
    </w:p>
    <w:p>
      <w:pPr>
        <w:pStyle w:val="Style6"/>
        <w:keepNext w:val="0"/>
        <w:keepLines w:val="0"/>
        <w:framePr w:w="652" w:h="407" w:wrap="none" w:hAnchor="page" w:x="4336" w:y="3594"/>
        <w:widowControl w:val="0"/>
        <w:pBdr>
          <w:top w:val="single" w:sz="4" w:space="0" w:color="auto"/>
          <w:bottom w:val="single" w:sz="4" w:space="0" w:color="auto"/>
        </w:pBdr>
        <w:shd w:val="clear" w:color="auto" w:fill="auto"/>
        <w:bidi w:val="0"/>
        <w:spacing w:before="0" w:after="0" w:line="240" w:lineRule="auto"/>
        <w:ind w:left="0" w:right="0" w:firstLine="0"/>
        <w:jc w:val="right"/>
      </w:pPr>
      <w:r>
        <w:rPr>
          <w:spacing w:val="0"/>
          <w:w w:val="100"/>
          <w:position w:val="0"/>
          <w:u w:val="none"/>
          <w:shd w:val="clear" w:color="auto" w:fill="auto"/>
          <w:lang w:val="ru-RU" w:eastAsia="ru-RU" w:bidi="ru-RU"/>
        </w:rPr>
        <w:t>/23</w:t>
      </w:r>
    </w:p>
    <w:p>
      <w:pPr>
        <w:pStyle w:val="Style10"/>
        <w:keepNext w:val="0"/>
        <w:keepLines w:val="0"/>
        <w:framePr w:w="4068" w:h="256" w:wrap="none" w:hAnchor="page" w:x="1222" w:y="416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 xml:space="preserve">На №  от</w:t>
      </w:r>
    </w:p>
    <w:p>
      <w:pPr>
        <w:pStyle w:val="Style12"/>
        <w:keepNext w:val="0"/>
        <w:keepLines w:val="0"/>
        <w:framePr w:w="5080" w:h="4543" w:wrap="none" w:hAnchor="page" w:x="6305" w:y="92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дело № 010/06/106-297/2023</w:t>
      </w:r>
    </w:p>
    <w:p>
      <w:pPr>
        <w:pStyle w:val="Style12"/>
        <w:keepNext w:val="0"/>
        <w:keepLines w:val="0"/>
        <w:framePr w:w="5080" w:h="4543" w:wrap="none" w:hAnchor="page" w:x="6305" w:y="923"/>
        <w:widowControl w:val="0"/>
        <w:shd w:val="clear" w:color="auto" w:fill="auto"/>
        <w:bidi w:val="0"/>
        <w:spacing w:before="0" w:after="300" w:line="240" w:lineRule="auto"/>
        <w:ind w:left="0" w:right="0" w:firstLine="0"/>
        <w:jc w:val="left"/>
      </w:pPr>
      <w:r>
        <w:rPr>
          <w:b/>
          <w:bCs/>
          <w:color w:val="000000"/>
          <w:spacing w:val="0"/>
          <w:w w:val="100"/>
          <w:position w:val="0"/>
          <w:shd w:val="clear" w:color="auto" w:fill="auto"/>
          <w:lang w:val="ru-RU" w:eastAsia="ru-RU" w:bidi="ru-RU"/>
        </w:rPr>
        <w:t>04-18/88-2023</w:t>
      </w:r>
    </w:p>
    <w:p>
      <w:pPr>
        <w:pStyle w:val="Style15"/>
        <w:keepNext/>
        <w:keepLines/>
        <w:framePr w:w="5080" w:h="4543" w:wrap="none" w:hAnchor="page" w:x="6305" w:y="923"/>
        <w:widowControl w:val="0"/>
        <w:shd w:val="clear" w:color="auto" w:fill="auto"/>
        <w:bidi w:val="0"/>
        <w:spacing w:before="0" w:after="0" w:line="240" w:lineRule="auto"/>
        <w:ind w:left="0" w:right="0" w:firstLine="0"/>
        <w:jc w:val="left"/>
      </w:pPr>
      <w:bookmarkStart w:id="0" w:name="bookmark0"/>
      <w:r>
        <w:rPr>
          <w:color w:val="000000"/>
          <w:spacing w:val="0"/>
          <w:w w:val="100"/>
          <w:position w:val="0"/>
          <w:shd w:val="clear" w:color="auto" w:fill="auto"/>
          <w:lang w:val="ru-RU" w:eastAsia="ru-RU" w:bidi="ru-RU"/>
        </w:rPr>
        <w:t>Заказчик:</w:t>
      </w:r>
      <w:bookmarkEnd w:id="0"/>
    </w:p>
    <w:p>
      <w:pPr>
        <w:pStyle w:val="Style15"/>
        <w:keepNext/>
        <w:keepLines/>
        <w:framePr w:w="5080" w:h="4543" w:wrap="none" w:hAnchor="page" w:x="6305"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РК «Госпиталь для ветеранов войн»</w:t>
      </w:r>
    </w:p>
    <w:p>
      <w:pPr>
        <w:pStyle w:val="Style12"/>
        <w:keepNext w:val="0"/>
        <w:keepLines w:val="0"/>
        <w:framePr w:w="5080" w:h="4543" w:wrap="none" w:hAnchor="page" w:x="6305" w:y="923"/>
        <w:widowControl w:val="0"/>
        <w:shd w:val="clear" w:color="auto" w:fill="auto"/>
        <w:bidi w:val="0"/>
        <w:spacing w:before="0" w:after="300" w:line="240" w:lineRule="auto"/>
        <w:ind w:left="0" w:right="0" w:firstLine="0"/>
        <w:jc w:val="left"/>
      </w:pPr>
      <w:r>
        <w:rPr>
          <w:color w:val="000000"/>
          <w:spacing w:val="0"/>
          <w:w w:val="100"/>
          <w:position w:val="0"/>
          <w:shd w:val="clear" w:color="auto" w:fill="auto"/>
          <w:lang w:val="ru-RU" w:eastAsia="ru-RU" w:bidi="ru-RU"/>
        </w:rPr>
        <w:t>ул. Куйбышева, д. 8, г. Петрозаводск, 185035 кгуико уа @§уу-гк. ги</w:t>
      </w:r>
    </w:p>
    <w:p>
      <w:pPr>
        <w:pStyle w:val="Style12"/>
        <w:keepNext w:val="0"/>
        <w:keepLines w:val="0"/>
        <w:framePr w:w="5080" w:h="4543" w:wrap="none" w:hAnchor="page" w:x="6305" w:y="923"/>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ru-RU" w:eastAsia="ru-RU" w:bidi="ru-RU"/>
        </w:rPr>
        <w:t>Заявитель:</w:t>
      </w:r>
    </w:p>
    <w:p>
      <w:pPr>
        <w:pStyle w:val="Style15"/>
        <w:keepNext/>
        <w:keepLines/>
        <w:framePr w:w="5080" w:h="4543" w:wrap="none" w:hAnchor="page" w:x="6305" w:y="923"/>
        <w:widowControl w:val="0"/>
        <w:shd w:val="clear" w:color="auto" w:fill="auto"/>
        <w:bidi w:val="0"/>
        <w:spacing w:before="0" w:after="0" w:line="240" w:lineRule="auto"/>
        <w:ind w:left="0" w:right="0" w:firstLine="0"/>
        <w:jc w:val="left"/>
      </w:pPr>
      <w:bookmarkStart w:id="3" w:name="bookmark3"/>
      <w:r>
        <w:rPr>
          <w:color w:val="000000"/>
          <w:spacing w:val="0"/>
          <w:w w:val="100"/>
          <w:position w:val="0"/>
          <w:shd w:val="clear" w:color="auto" w:fill="auto"/>
          <w:lang w:val="ru-RU" w:eastAsia="ru-RU" w:bidi="ru-RU"/>
        </w:rPr>
        <w:t>ООО «ОНФД»</w:t>
      </w:r>
      <w:bookmarkEnd w:id="3"/>
    </w:p>
    <w:p>
      <w:pPr>
        <w:pStyle w:val="Style12"/>
        <w:keepNext w:val="0"/>
        <w:keepLines w:val="0"/>
        <w:framePr w:w="5080" w:h="4543" w:wrap="none" w:hAnchor="page" w:x="6305"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ул. Боровая, д. 44, литер А, пом. 1Н,</w:t>
      </w:r>
    </w:p>
    <w:p>
      <w:pPr>
        <w:pStyle w:val="Style12"/>
        <w:keepNext w:val="0"/>
        <w:keepLines w:val="0"/>
        <w:framePr w:w="5080" w:h="4543" w:wrap="none" w:hAnchor="page" w:x="6305"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Санкт-Петербург, 192007</w:t>
      </w:r>
    </w:p>
    <w:p>
      <w:pPr>
        <w:pStyle w:val="Style12"/>
        <w:keepNext w:val="0"/>
        <w:keepLines w:val="0"/>
        <w:framePr w:w="5080" w:h="4543" w:wrap="none" w:hAnchor="page" w:x="6305"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 @опй1.ги</w:t>
      </w:r>
    </w:p>
    <w:p>
      <w:pPr>
        <w:pStyle w:val="Style12"/>
        <w:keepNext w:val="0"/>
        <w:keepLines w:val="0"/>
        <w:framePr w:w="5080" w:h="4543" w:wrap="none" w:hAnchor="page" w:x="6305" w:y="923"/>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365@опШ.ги</w:t>
      </w:r>
    </w:p>
    <w:p>
      <w:pPr>
        <w:widowControl w:val="0"/>
        <w:spacing w:line="360" w:lineRule="exact"/>
      </w:pPr>
      <w:r>
        <w:drawing>
          <wp:anchor distT="0" distB="0" distL="0" distR="0" simplePos="0" relativeHeight="62914690" behindDoc="1" locked="0" layoutInCell="1" allowOverlap="1">
            <wp:simplePos x="0" y="0"/>
            <wp:positionH relativeFrom="page">
              <wp:posOffset>1831340</wp:posOffset>
            </wp:positionH>
            <wp:positionV relativeFrom="margin">
              <wp:posOffset>0</wp:posOffset>
            </wp:positionV>
            <wp:extent cx="524510" cy="62166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24510" cy="62166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24" w:line="1" w:lineRule="exact"/>
      </w:pPr>
    </w:p>
    <w:p>
      <w:pPr>
        <w:widowControl w:val="0"/>
        <w:spacing w:line="1" w:lineRule="exact"/>
        <w:sectPr>
          <w:footerReference w:type="default" r:id="rId7"/>
          <w:footnotePr>
            <w:pos w:val="pageBottom"/>
            <w:numFmt w:val="decimal"/>
            <w:numRestart w:val="continuous"/>
          </w:footnotePr>
          <w:pgSz w:w="11900" w:h="16840"/>
          <w:pgMar w:top="286" w:right="391" w:bottom="1175" w:left="1214" w:header="0" w:footer="3" w:gutter="0"/>
          <w:pgNumType w:start="1"/>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960" w:right="0" w:bottom="1187" w:left="0" w:header="0" w:footer="3" w:gutter="0"/>
          <w:cols w:space="720"/>
          <w:noEndnote/>
          <w:rtlGutter w:val="0"/>
          <w:docGrid w:linePitch="360"/>
        </w:sectPr>
      </w:pPr>
    </w:p>
    <w:p>
      <w:pPr>
        <w:pStyle w:val="Style15"/>
        <w:keepNext/>
        <w:keepLines/>
        <w:widowControl w:val="0"/>
        <w:shd w:val="clear" w:color="auto" w:fill="auto"/>
        <w:bidi w:val="0"/>
        <w:spacing w:before="0" w:after="280" w:line="240" w:lineRule="auto"/>
        <w:ind w:left="0" w:right="0" w:firstLine="0"/>
        <w:jc w:val="center"/>
      </w:pPr>
      <w:bookmarkStart w:id="5" w:name="bookmark5"/>
      <w:r>
        <w:rPr>
          <w:color w:val="000000"/>
          <w:spacing w:val="0"/>
          <w:w w:val="100"/>
          <w:position w:val="0"/>
          <w:shd w:val="clear" w:color="auto" w:fill="auto"/>
          <w:lang w:val="ru-RU" w:eastAsia="ru-RU" w:bidi="ru-RU"/>
        </w:rPr>
        <w:t>РЕШЕНИЕ</w:t>
        <w:br/>
        <w:t>по делу № 010/06/106-297/2023</w:t>
      </w:r>
      <w:bookmarkEnd w:id="5"/>
    </w:p>
    <w:p>
      <w:pPr>
        <w:pStyle w:val="Style12"/>
        <w:keepNext w:val="0"/>
        <w:keepLines w:val="0"/>
        <w:widowControl w:val="0"/>
        <w:shd w:val="clear" w:color="auto" w:fill="auto"/>
        <w:bidi w:val="0"/>
        <w:spacing w:before="0" w:after="280" w:line="240" w:lineRule="auto"/>
        <w:ind w:left="0" w:right="0" w:firstLine="0"/>
        <w:jc w:val="right"/>
      </w:pPr>
      <w:r>
        <w:rPr>
          <w:color w:val="000000"/>
          <w:spacing w:val="0"/>
          <w:w w:val="100"/>
          <w:position w:val="0"/>
          <w:shd w:val="clear" w:color="auto" w:fill="auto"/>
          <w:lang w:val="ru-RU" w:eastAsia="ru-RU" w:bidi="ru-RU"/>
        </w:rPr>
        <w:t>г. Петрозаводск</w:t>
      </w:r>
    </w:p>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Резолютивная часть решения объявлена «24» апреля 2023 года</w:t>
      </w:r>
    </w:p>
    <w:p>
      <w:pPr>
        <w:pStyle w:val="Style12"/>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Решение в полном объеме изготовлено «27» апреля 2023 года</w:t>
      </w:r>
    </w:p>
    <w:p>
      <w:pPr>
        <w:pStyle w:val="Style12"/>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Комиссия Карельского УФАС России по контролю в сфере закупок для государственных и муниципальных нужд в составе:</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Суханов М.С. - заместитель председателя Комиссии, заместитель начальника отдела контроля органов власти и закупок Карельского УФАС России;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Лайдинен О.В. - член Комиссии, ведущий специалист-эксперт отдела контроля органов власти и закупок Карельского УФАС России;</w:t>
      </w:r>
    </w:p>
    <w:p>
      <w:pPr>
        <w:pStyle w:val="Style12"/>
        <w:keepNext w:val="0"/>
        <w:keepLines w:val="0"/>
        <w:widowControl w:val="0"/>
        <w:shd w:val="clear" w:color="auto" w:fill="auto"/>
        <w:bidi w:val="0"/>
        <w:spacing w:before="0" w:after="280" w:line="240" w:lineRule="auto"/>
        <w:ind w:left="0" w:right="0" w:firstLine="580"/>
        <w:jc w:val="both"/>
      </w:pPr>
      <w:r>
        <w:rPr>
          <w:color w:val="000000"/>
          <w:spacing w:val="0"/>
          <w:w w:val="100"/>
          <w:position w:val="0"/>
          <w:shd w:val="clear" w:color="auto" w:fill="auto"/>
          <w:lang w:val="ru-RU" w:eastAsia="ru-RU" w:bidi="ru-RU"/>
        </w:rPr>
        <w:t>Ковалева О.В. - член Комиссии, ведущий специалист-эксперт отдела контроля органов власти и закупок Карельского УФАС России,</w:t>
      </w:r>
    </w:p>
    <w:p>
      <w:pPr>
        <w:pStyle w:val="Style12"/>
        <w:keepNext w:val="0"/>
        <w:keepLines w:val="0"/>
        <w:widowControl w:val="0"/>
        <w:shd w:val="clear" w:color="auto" w:fill="auto"/>
        <w:bidi w:val="0"/>
        <w:spacing w:before="0" w:after="0" w:line="240" w:lineRule="auto"/>
        <w:ind w:left="0" w:right="0" w:firstLine="440"/>
        <w:jc w:val="left"/>
      </w:pPr>
      <w:r>
        <w:rPr>
          <w:color w:val="000000"/>
          <w:spacing w:val="0"/>
          <w:w w:val="100"/>
          <w:position w:val="0"/>
          <w:shd w:val="clear" w:color="auto" w:fill="auto"/>
          <w:lang w:val="ru-RU" w:eastAsia="ru-RU" w:bidi="ru-RU"/>
        </w:rPr>
        <w:t>при участии представителей в режиме видео-конференц-связи до перерыва:</w:t>
      </w:r>
    </w:p>
    <w:p>
      <w:pPr>
        <w:pStyle w:val="Style12"/>
        <w:keepNext w:val="0"/>
        <w:keepLines w:val="0"/>
        <w:widowControl w:val="0"/>
        <w:shd w:val="clear" w:color="auto" w:fill="auto"/>
        <w:bidi w:val="0"/>
        <w:spacing w:before="0" w:after="0" w:line="240" w:lineRule="auto"/>
        <w:ind w:left="0" w:right="0" w:firstLine="460"/>
        <w:jc w:val="both"/>
      </w:pPr>
      <w:r>
        <w:rPr>
          <w:color w:val="000000"/>
          <w:spacing w:val="0"/>
          <w:w w:val="100"/>
          <w:position w:val="0"/>
          <w:shd w:val="clear" w:color="auto" w:fill="auto"/>
          <w:lang w:val="ru-RU" w:eastAsia="ru-RU" w:bidi="ru-RU"/>
        </w:rPr>
        <w:t>Заказчика - ГБУЗ РК «Госпиталь для ветеранов войн» Крюковой Д.Ю. (копия доверенности в материалах дела);</w:t>
      </w:r>
    </w:p>
    <w:p>
      <w:pPr>
        <w:pStyle w:val="Style12"/>
        <w:keepNext w:val="0"/>
        <w:keepLines w:val="0"/>
        <w:widowControl w:val="0"/>
        <w:shd w:val="clear" w:color="auto" w:fill="auto"/>
        <w:bidi w:val="0"/>
        <w:spacing w:before="0" w:after="960" w:line="240" w:lineRule="auto"/>
        <w:ind w:left="0" w:right="0" w:firstLine="440"/>
        <w:jc w:val="left"/>
      </w:pPr>
      <w:r>
        <w:rPr>
          <w:color w:val="000000"/>
          <w:spacing w:val="0"/>
          <w:w w:val="100"/>
          <w:position w:val="0"/>
          <w:shd w:val="clear" w:color="auto" w:fill="auto"/>
          <w:lang w:val="ru-RU" w:eastAsia="ru-RU" w:bidi="ru-RU"/>
        </w:rPr>
        <w:t>Заявителя - ООО «ОНФД» Бантовской М.В. (копия доверенности в материалах дела),</w:t>
      </w:r>
    </w:p>
    <w:p>
      <w:pPr>
        <w:pStyle w:val="Style20"/>
        <w:keepNext/>
        <w:keepLines/>
        <w:widowControl w:val="0"/>
        <w:shd w:val="clear" w:color="auto" w:fill="auto"/>
        <w:bidi w:val="0"/>
        <w:spacing w:before="0" w:line="240" w:lineRule="auto"/>
        <w:ind w:left="0" w:right="0" w:firstLine="0"/>
        <w:jc w:val="left"/>
      </w:pPr>
      <w:bookmarkStart w:id="7" w:name="bookmark7"/>
      <w:r>
        <w:rPr>
          <w:color w:val="000000"/>
          <w:spacing w:val="0"/>
          <w:w w:val="100"/>
          <w:position w:val="0"/>
          <w:shd w:val="clear" w:color="auto" w:fill="auto"/>
          <w:lang w:val="ru-RU" w:eastAsia="ru-RU" w:bidi="ru-RU"/>
        </w:rPr>
        <w:t>111111111111111111111111</w:t>
      </w:r>
      <w:bookmarkEnd w:id="7"/>
    </w:p>
    <w:p>
      <w:pPr>
        <w:pStyle w:val="Style12"/>
        <w:keepNext w:val="0"/>
        <w:keepLines w:val="0"/>
        <w:widowControl w:val="0"/>
        <w:shd w:val="clear" w:color="auto" w:fill="auto"/>
        <w:bidi w:val="0"/>
        <w:spacing w:before="0" w:after="120" w:line="240" w:lineRule="auto"/>
        <w:ind w:left="0" w:right="0" w:firstLine="580"/>
        <w:jc w:val="both"/>
      </w:pPr>
      <w:r>
        <w:rPr>
          <w:color w:val="000000"/>
          <w:spacing w:val="0"/>
          <w:w w:val="100"/>
          <w:position w:val="0"/>
          <w:shd w:val="clear" w:color="auto" w:fill="auto"/>
          <w:lang w:val="ru-RU" w:eastAsia="ru-RU" w:bidi="ru-RU"/>
        </w:rPr>
        <w:t>рассмотрев жалобу ООО «ОНФД» (вх.от 18.04.2023 № 2403/23) на действия Заказчика - ГБУЗ РК «Госпиталь для ветеранов войн» при проведении электронного аукциона на поставку изделий медицинского назначения и оборудования для реабилитации: системы магнитной нейростимуляции, передвижной (извещение №0306200004523000049) (далее - аукцион)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№36262),</w:t>
      </w:r>
    </w:p>
    <w:p>
      <w:pPr>
        <w:pStyle w:val="Style15"/>
        <w:keepNext/>
        <w:keepLines/>
        <w:widowControl w:val="0"/>
        <w:shd w:val="clear" w:color="auto" w:fill="auto"/>
        <w:bidi w:val="0"/>
        <w:spacing w:before="0" w:after="120" w:line="240" w:lineRule="auto"/>
        <w:ind w:left="0" w:right="0" w:firstLine="0"/>
        <w:jc w:val="center"/>
      </w:pPr>
      <w:bookmarkStart w:id="9" w:name="bookmark9"/>
      <w:r>
        <w:rPr>
          <w:color w:val="000000"/>
          <w:spacing w:val="0"/>
          <w:w w:val="100"/>
          <w:position w:val="0"/>
          <w:shd w:val="clear" w:color="auto" w:fill="auto"/>
          <w:lang w:val="ru-RU" w:eastAsia="ru-RU" w:bidi="ru-RU"/>
        </w:rPr>
        <w:t>УСТАНОВИЛА:</w:t>
      </w:r>
      <w:bookmarkEnd w:id="9"/>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Карельское УФАС России 17.04.2023 поступила жалоба на действия Заказчика при проведении электронного аукциона на поставку изделий медицинского назначения и оборудования для реабилитации: системы магнитной нейростимуляции, передвижной.</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Жалоба ООО «ОНФД» содержит доводы, указывающие на то, что Заказчик при описании объекта закупки намеренно проигнорировал обязательный к применению код КТРУ 26.60.13.160-00000019 («Система магнитной нейростимуляции, передвижная»), указав в извещении и техническом задании только код ОКПД2 - 26.60.13.160.</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Кроме того, согласно жалобе Описание объекта закупки (приложение к извещению) составлено таким образом, что совокупность технических характеристик товара, указанных в пунктах 3.1 - 3.4, 3.19 Технического задания, соответствует оборудованию единственного производителя - Транскраниальному электромагнитному стимулятору ТАМАЗ, производства Кешей Со. ЕГО (Республика Корея).</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по мнению Заявителя, необъективное описание объекта закупки привело к ограничению круга участников закупки и нарушению Заказчиком положений части 2 статьи 8, части 1 статьи 33 Закона о контрактной системе.</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ООО «ОНФД» просит приостановить процедуру проведения электронного аукциона, признать жалобу обоснованной, выдать Заказчику предписание об устранении выявленных нарушений.</w:t>
      </w:r>
    </w:p>
    <w:p>
      <w:pPr>
        <w:pStyle w:val="Style12"/>
        <w:keepNext w:val="0"/>
        <w:keepLines w:val="0"/>
        <w:widowControl w:val="0"/>
        <w:shd w:val="clear" w:color="auto" w:fill="auto"/>
        <w:bidi w:val="0"/>
        <w:spacing w:before="0" w:after="300" w:line="240" w:lineRule="auto"/>
        <w:ind w:left="0" w:right="0" w:firstLine="580"/>
        <w:jc w:val="both"/>
      </w:pPr>
      <w:r>
        <w:rPr>
          <w:color w:val="000000"/>
          <w:spacing w:val="0"/>
          <w:w w:val="100"/>
          <w:position w:val="0"/>
          <w:shd w:val="clear" w:color="auto" w:fill="auto"/>
          <w:lang w:val="ru-RU" w:eastAsia="ru-RU" w:bidi="ru-RU"/>
        </w:rPr>
        <w:t>Заказчик в адрес Карельского УФАС России направил ответ на жалобу (вх. от 21.04.2023 №2488-ЭП/23), просил признать жалобу необоснованной.</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ходе рассмотрения жалобы Комиссией Карельского УФАС России установлено следующее:</w:t>
      </w:r>
    </w:p>
    <w:p>
      <w:pPr>
        <w:pStyle w:val="Style12"/>
        <w:keepNext w:val="0"/>
        <w:keepLines w:val="0"/>
        <w:widowControl w:val="0"/>
        <w:numPr>
          <w:ilvl w:val="0"/>
          <w:numId w:val="1"/>
        </w:numPr>
        <w:shd w:val="clear" w:color="auto" w:fill="auto"/>
        <w:tabs>
          <w:tab w:pos="78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извещение о проведении электронного аукциона размещено на официальном сайте Единой информационной системы в сфере закупок (Ьйр://хакирк1.§оу.ги) 05.04.2023;</w:t>
      </w:r>
    </w:p>
    <w:p>
      <w:pPr>
        <w:pStyle w:val="Style12"/>
        <w:keepNext w:val="0"/>
        <w:keepLines w:val="0"/>
        <w:widowControl w:val="0"/>
        <w:numPr>
          <w:ilvl w:val="0"/>
          <w:numId w:val="1"/>
        </w:numPr>
        <w:shd w:val="clear" w:color="auto" w:fill="auto"/>
        <w:tabs>
          <w:tab w:pos="133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адрес электронной площадки - Ьйр://лудулу.8ЬегЪапк-а81.ги;</w:t>
      </w:r>
    </w:p>
    <w:p>
      <w:pPr>
        <w:pStyle w:val="Style12"/>
        <w:keepNext w:val="0"/>
        <w:keepLines w:val="0"/>
        <w:widowControl w:val="0"/>
        <w:numPr>
          <w:ilvl w:val="0"/>
          <w:numId w:val="1"/>
        </w:numPr>
        <w:shd w:val="clear" w:color="auto" w:fill="auto"/>
        <w:tabs>
          <w:tab w:pos="133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номер извещения - 0306200004523000049;</w:t>
      </w:r>
    </w:p>
    <w:p>
      <w:pPr>
        <w:pStyle w:val="Style12"/>
        <w:keepNext w:val="0"/>
        <w:keepLines w:val="0"/>
        <w:widowControl w:val="0"/>
        <w:numPr>
          <w:ilvl w:val="0"/>
          <w:numId w:val="1"/>
        </w:numPr>
        <w:shd w:val="clear" w:color="auto" w:fill="auto"/>
        <w:tabs>
          <w:tab w:pos="777"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наименование объекта закупки - поставка изделия медицинского назначения и оборудования для реабилитации: системы магнитной нейростимуляции, передвижной;</w:t>
      </w:r>
    </w:p>
    <w:p>
      <w:pPr>
        <w:pStyle w:val="Style12"/>
        <w:keepNext w:val="0"/>
        <w:keepLines w:val="0"/>
        <w:widowControl w:val="0"/>
        <w:numPr>
          <w:ilvl w:val="0"/>
          <w:numId w:val="1"/>
        </w:numPr>
        <w:shd w:val="clear" w:color="auto" w:fill="auto"/>
        <w:tabs>
          <w:tab w:pos="784"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 - государственное бюджетное учреждение здравоохранения Республики Карелия «Госпиталь для ветеранов войн» (ГБУЗ «Госпиталь для ветеранов войн»);</w:t>
      </w:r>
    </w:p>
    <w:p>
      <w:pPr>
        <w:pStyle w:val="Style12"/>
        <w:keepNext w:val="0"/>
        <w:keepLines w:val="0"/>
        <w:widowControl w:val="0"/>
        <w:numPr>
          <w:ilvl w:val="0"/>
          <w:numId w:val="1"/>
        </w:numPr>
        <w:shd w:val="clear" w:color="auto" w:fill="auto"/>
        <w:tabs>
          <w:tab w:pos="1336"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начальная (максимальная) цена контракта - 6 514 490,00 рублей;</w:t>
      </w:r>
    </w:p>
    <w:p>
      <w:pPr>
        <w:pStyle w:val="Style12"/>
        <w:keepNext w:val="0"/>
        <w:keepLines w:val="0"/>
        <w:widowControl w:val="0"/>
        <w:numPr>
          <w:ilvl w:val="0"/>
          <w:numId w:val="1"/>
        </w:numPr>
        <w:shd w:val="clear" w:color="auto" w:fill="auto"/>
        <w:tabs>
          <w:tab w:pos="788" w:val="left"/>
        </w:tabs>
        <w:bidi w:val="0"/>
        <w:spacing w:before="0" w:after="0" w:line="240" w:lineRule="auto"/>
        <w:ind w:left="0" w:right="0" w:firstLine="580"/>
        <w:jc w:val="both"/>
      </w:pPr>
      <w:r>
        <w:rPr>
          <w:color w:val="000000"/>
          <w:spacing w:val="0"/>
          <w:w w:val="100"/>
          <w:position w:val="0"/>
          <w:shd w:val="clear" w:color="auto" w:fill="auto"/>
          <w:lang w:val="ru-RU" w:eastAsia="ru-RU" w:bidi="ru-RU"/>
        </w:rPr>
        <w:t xml:space="preserve">из протокола подведения итогов определения поставщика (подрядчика, исполнителя) от 19.04.2023 №ИЭА1 следует, что по окончании срока подачи заявок было подано 2 (две) заявки на участие в электронном аукционе, обе признаны соответствующими извещению о проведении закупки, контракт заключается с участником под идентификационным </w:t>
      </w:r>
      <w:r>
        <w:rPr>
          <w:color w:val="000000"/>
          <w:spacing w:val="0"/>
          <w:w w:val="100"/>
          <w:position w:val="0"/>
          <w:shd w:val="clear" w:color="auto" w:fill="auto"/>
          <w:lang w:val="ru-RU" w:eastAsia="ru-RU" w:bidi="ru-RU"/>
        </w:rPr>
        <w:t xml:space="preserve">номером </w:t>
      </w:r>
      <w:r>
        <w:rPr>
          <w:rFonts w:ascii="Arial" w:eastAsia="Arial" w:hAnsi="Arial" w:cs="Arial"/>
          <w:i/>
          <w:iCs/>
          <w:color w:val="000000"/>
          <w:spacing w:val="0"/>
          <w:w w:val="100"/>
          <w:position w:val="0"/>
          <w:sz w:val="24"/>
          <w:szCs w:val="24"/>
          <w:shd w:val="clear" w:color="auto" w:fill="auto"/>
          <w:lang w:val="ru-RU" w:eastAsia="ru-RU" w:bidi="ru-RU"/>
        </w:rPr>
        <w:t>4,</w:t>
      </w:r>
      <w:r>
        <w:rPr>
          <w:color w:val="000000"/>
          <w:spacing w:val="0"/>
          <w:w w:val="100"/>
          <w:position w:val="0"/>
          <w:shd w:val="clear" w:color="auto" w:fill="auto"/>
          <w:lang w:val="ru-RU" w:eastAsia="ru-RU" w:bidi="ru-RU"/>
        </w:rPr>
        <w:t xml:space="preserve"> предложившим цену контракта 6 221 337, 95 рублей.</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Рассмотрение жалобы назначено на 10 часов 30 минут 21.04.2023 в режиме видео</w:t>
        <w:softHyphen/>
        <w:t>конференц-связи, состоялось в указанное время.</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 целью изучения дополнительных материалов дела и обеспечения участия представителя Заявителя в заседании Комиссии, объявлен перерыв в принятии решения по жалобе до 16 часов 00 минут 24.04.2023, после перерыва заседание продолжилось в прежнем составе Комиссии, без участия Сторон.</w:t>
      </w:r>
    </w:p>
    <w:p>
      <w:pPr>
        <w:pStyle w:val="Style12"/>
        <w:keepNext w:val="0"/>
        <w:keepLines w:val="0"/>
        <w:widowControl w:val="0"/>
        <w:shd w:val="clear" w:color="auto" w:fill="auto"/>
        <w:bidi w:val="0"/>
        <w:spacing w:before="0" w:after="280" w:line="240" w:lineRule="auto"/>
        <w:ind w:left="0" w:right="0" w:firstLine="600"/>
        <w:jc w:val="both"/>
      </w:pPr>
      <w:r>
        <w:rPr>
          <w:color w:val="000000"/>
          <w:spacing w:val="0"/>
          <w:w w:val="100"/>
          <w:position w:val="0"/>
          <w:shd w:val="clear" w:color="auto" w:fill="auto"/>
          <w:lang w:val="ru-RU" w:eastAsia="ru-RU" w:bidi="ru-RU"/>
        </w:rPr>
        <w:t>На момент рассмотрения поступившей жалобы государственный контракт не заключен.</w:t>
      </w:r>
    </w:p>
    <w:p>
      <w:pPr>
        <w:pStyle w:val="Style12"/>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Изучив представленные материалы, заслушав пояснения представителей Заказчика, Заявителя, Комиссия Карельского УФАС России пришла к следующим выводам.</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соответствии с пунктом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описание объекта закупки в соответствии со статьей 33 настоящего Федерального закона.</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w:t>
      </w:r>
      <w:r>
        <w:rPr>
          <w:color w:val="000000"/>
          <w:spacing w:val="0"/>
          <w:w w:val="100"/>
          <w:position w:val="0"/>
          <w:u w:val="single"/>
          <w:shd w:val="clear" w:color="auto" w:fill="auto"/>
          <w:lang w:val="ru-RU" w:eastAsia="ru-RU" w:bidi="ru-RU"/>
        </w:rPr>
        <w:t>требования или указания влекут за собой ограничение количества участников закупки</w:t>
      </w:r>
      <w:r>
        <w:rPr>
          <w:color w:val="000000"/>
          <w:spacing w:val="0"/>
          <w:w w:val="100"/>
          <w:position w:val="0"/>
          <w:shd w:val="clear" w:color="auto" w:fill="auto"/>
          <w:lang w:val="ru-RU" w:eastAsia="ru-RU" w:bidi="ru-RU"/>
        </w:rPr>
        <w:t>.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Пунктом 2 части 1 статьи 33 Закона о контрактной системе предусмотрено использование заказчиками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w:t>
      </w:r>
      <w:r>
        <w:rPr>
          <w:color w:val="000000"/>
          <w:spacing w:val="0"/>
          <w:w w:val="100"/>
          <w:position w:val="0"/>
          <w:shd w:val="clear" w:color="auto" w:fill="auto"/>
          <w:lang w:val="ru-RU" w:eastAsia="ru-RU" w:bidi="ru-RU"/>
        </w:rPr>
        <w:t>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Частью 6 статьи 23 Закона о контрактной системе предусмотрено,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Постановлением Правительства РФ от 08.02.2017 № 145 утверждены Правила использования каталога товаров, работ, услуг для обеспечения государственных и муниципальных нужд (далее - Правила №145).</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соответствии с пунктом 4 Правил №145 заказчики обязаны применять 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с указанной в ней даты начала обязательного применения.</w:t>
      </w:r>
    </w:p>
    <w:p>
      <w:pPr>
        <w:pStyle w:val="Style12"/>
        <w:keepNext w:val="0"/>
        <w:keepLines w:val="0"/>
        <w:widowControl w:val="0"/>
        <w:shd w:val="clear" w:color="auto" w:fill="auto"/>
        <w:bidi w:val="0"/>
        <w:spacing w:before="0" w:after="300" w:line="240" w:lineRule="auto"/>
        <w:ind w:left="0" w:right="0" w:firstLine="580"/>
        <w:jc w:val="both"/>
      </w:pPr>
      <w:r>
        <w:rPr>
          <w:color w:val="000000"/>
          <w:spacing w:val="0"/>
          <w:w w:val="100"/>
          <w:position w:val="0"/>
          <w:shd w:val="clear" w:color="auto" w:fill="auto"/>
          <w:lang w:val="ru-RU" w:eastAsia="ru-RU" w:bidi="ru-RU"/>
        </w:rPr>
        <w:t xml:space="preserve">Согласно пункту 6 Правил №145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w:t>
      </w:r>
      <w:r>
        <w:rPr>
          <w:color w:val="000000"/>
          <w:spacing w:val="0"/>
          <w:w w:val="100"/>
          <w:position w:val="0"/>
          <w:u w:val="single"/>
          <w:shd w:val="clear" w:color="auto" w:fill="auto"/>
          <w:lang w:val="ru-RU" w:eastAsia="ru-RU" w:bidi="ru-RU"/>
        </w:rPr>
        <w:t>обоснование необходимости использования такой информации</w:t>
      </w:r>
      <w:r>
        <w:rPr>
          <w:color w:val="000000"/>
          <w:spacing w:val="0"/>
          <w:w w:val="100"/>
          <w:position w:val="0"/>
          <w:shd w:val="clear" w:color="auto" w:fill="auto"/>
          <w:lang w:val="ru-RU" w:eastAsia="ru-RU" w:bidi="ru-RU"/>
        </w:rPr>
        <w:t xml:space="preserve"> (при наличии описания товара, работы, услуги в позиции каталога). В случае осуществления закупки товара, работы, услуги, в отношении которых </w:t>
      </w:r>
      <w:r>
        <w:rPr>
          <w:color w:val="000000"/>
          <w:spacing w:val="0"/>
          <w:w w:val="100"/>
          <w:position w:val="0"/>
          <w:u w:val="single"/>
          <w:shd w:val="clear" w:color="auto" w:fill="auto"/>
          <w:lang w:val="ru-RU" w:eastAsia="ru-RU" w:bidi="ru-RU"/>
        </w:rPr>
        <w:t>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w:t>
      </w:r>
      <w:r>
        <w:rPr>
          <w:color w:val="000000"/>
          <w:spacing w:val="0"/>
          <w:w w:val="100"/>
          <w:position w:val="0"/>
          <w:shd w:val="clear" w:color="auto" w:fill="auto"/>
          <w:lang w:val="ru-RU" w:eastAsia="ru-RU" w:bidi="ru-RU"/>
        </w:rPr>
        <w:t xml:space="preserve"> (пункт 7 Правил №145).</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Карельского УФАС России установлено, что согласно извещению о проведении электронного аукциона и Техническому заданию предметом электронного аукциона является поставка Системы магнитной нейростимуляции, передвижной, код ОКПД2 - 26.60.13.160 «Аппараты магнитотерапии».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Техническое задание Заказчиком включены следующие сведения о закупаемом товаре:</w:t>
      </w:r>
    </w:p>
    <w:p>
      <w:pPr>
        <w:pStyle w:val="Style12"/>
        <w:keepNext w:val="0"/>
        <w:keepLines w:val="0"/>
        <w:widowControl w:val="0"/>
        <w:numPr>
          <w:ilvl w:val="0"/>
          <w:numId w:val="3"/>
        </w:numPr>
        <w:shd w:val="clear" w:color="auto" w:fill="auto"/>
        <w:tabs>
          <w:tab w:pos="832" w:val="left"/>
        </w:tabs>
        <w:bidi w:val="0"/>
        <w:spacing w:before="0" w:after="0" w:line="240" w:lineRule="auto"/>
        <w:ind w:left="0" w:right="0" w:firstLine="580"/>
        <w:jc w:val="both"/>
      </w:pPr>
      <w:r>
        <w:rPr>
          <w:color w:val="000000"/>
          <w:spacing w:val="0"/>
          <w:w w:val="100"/>
          <w:position w:val="0"/>
          <w:shd w:val="clear" w:color="auto" w:fill="auto"/>
          <w:lang w:val="ru-RU" w:eastAsia="ru-RU" w:bidi="ru-RU"/>
        </w:rPr>
        <w:t>описание объекта закупки: «работающее от сети (переменного тока) изделие, предназначенное для создания магнитного поля для стимулирования области периферической и/или центральной нервной системы (ЦНС). Оно, как правило, накладывается на череп для психотерапии или коррекции восприятия языка, способностей к чтению, заикания, и/или нарушения координации движения»;</w:t>
      </w:r>
    </w:p>
    <w:p>
      <w:pPr>
        <w:pStyle w:val="Style12"/>
        <w:keepNext w:val="0"/>
        <w:keepLines w:val="0"/>
        <w:widowControl w:val="0"/>
        <w:numPr>
          <w:ilvl w:val="0"/>
          <w:numId w:val="3"/>
        </w:numPr>
        <w:shd w:val="clear" w:color="auto" w:fill="auto"/>
        <w:tabs>
          <w:tab w:pos="832" w:val="left"/>
        </w:tabs>
        <w:bidi w:val="0"/>
        <w:spacing w:before="0" w:after="140" w:line="240" w:lineRule="auto"/>
        <w:ind w:left="0" w:right="0" w:firstLine="580"/>
        <w:jc w:val="both"/>
      </w:pPr>
      <w:r>
        <w:rPr>
          <w:color w:val="000000"/>
          <w:spacing w:val="0"/>
          <w:w w:val="100"/>
          <w:position w:val="0"/>
          <w:shd w:val="clear" w:color="auto" w:fill="auto"/>
          <w:lang w:val="ru-RU" w:eastAsia="ru-RU" w:bidi="ru-RU"/>
        </w:rPr>
        <w:t>описание требований к товару (общие и функциональные требования, технические характеристики, обязательные требования, требования к сроку поставки, комплектации);</w:t>
      </w:r>
    </w:p>
    <w:p>
      <w:pPr>
        <w:pStyle w:val="Style12"/>
        <w:keepNext w:val="0"/>
        <w:keepLines w:val="0"/>
        <w:widowControl w:val="0"/>
        <w:numPr>
          <w:ilvl w:val="0"/>
          <w:numId w:val="3"/>
        </w:numPr>
        <w:shd w:val="clear" w:color="auto" w:fill="auto"/>
        <w:tabs>
          <w:tab w:pos="143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сведения о функциональных характеристиках товара;</w:t>
      </w:r>
    </w:p>
    <w:p>
      <w:pPr>
        <w:pStyle w:val="Style12"/>
        <w:keepNext w:val="0"/>
        <w:keepLines w:val="0"/>
        <w:widowControl w:val="0"/>
        <w:numPr>
          <w:ilvl w:val="0"/>
          <w:numId w:val="3"/>
        </w:numPr>
        <w:shd w:val="clear" w:color="auto" w:fill="auto"/>
        <w:tabs>
          <w:tab w:pos="83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 xml:space="preserve">обоснование необходимости использования дополнительной информации, а также дополнительных потребительских свойств, в том числе функциональных, технических, качественных, эксплуатационных характеристик товара в соответствии с положениями статьи 33 Закона о контрактной системе, не предусмотренные в позиции каталога: обусловлены необходимостью обеспечения потребностей Заказчика в соответствии с положениями статьи 33 Закона о контрактной системе и </w:t>
      </w:r>
      <w:r>
        <w:rPr>
          <w:color w:val="000000"/>
          <w:spacing w:val="0"/>
          <w:w w:val="100"/>
          <w:position w:val="0"/>
          <w:u w:val="single"/>
          <w:shd w:val="clear" w:color="auto" w:fill="auto"/>
          <w:lang w:val="ru-RU" w:eastAsia="ru-RU" w:bidi="ru-RU"/>
        </w:rPr>
        <w:t>сохранения потребительских свойств товара, а также в связи с отсутствием описания товара в позиции каталога характеристики товара</w:t>
      </w:r>
      <w:r>
        <w:rPr>
          <w:color w:val="000000"/>
          <w:spacing w:val="0"/>
          <w:w w:val="100"/>
          <w:position w:val="0"/>
          <w:shd w:val="clear" w:color="auto" w:fill="auto"/>
          <w:lang w:val="ru-RU" w:eastAsia="ru-RU" w:bidi="ru-RU"/>
        </w:rPr>
        <w:t>.</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своем ответе на жалобу Заказчик пояснил, что не применил конкретный код КТРУ, так как при описании объекта закупки руководствовался кодом вида медицинского изделия № 325490 «Система магнитной нейростимуляции передвижная», что обусловлено исполнением требований приказа Минздрава России от 31.07.2020 № 788н «Об утверждении Порядка организации медицинской реабилитации взрослых», несоблюдение которого повлекло бы нецелевое расходование Заказчиком бюджетных средств.</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Кроме того, предлагаемому Заявителем укрупненному коду КТРУ 26.60.13.160- 00000019 «Система магнитной нейростимуляции, передвижная», соответствуют код вида медицинских изделий 325490 и четыре кода КТРУ: 26.60.13.160-00000015, 26.60.13.160- 00000016, 26.60.13.160-000000187, 26.60.13.160-00000018, включающие только две обязательные характеристики: исполнение и режим стимуляции, которые не позволяют определить потребности Заказчика в полном объеме, в связи с чем описание объекта закупки сформировано Заказчиком с учетом объективной потребности, с применением кода ОКПД2 26.60.13.160 «Аппараты магнитотерапии».</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основании имеющихся документов и сведений, заявок участников закупки, а также с учетом пояснений Заказчика, Комиссия Карельского УФАС России приходит к выводу о том, что поскольку указанный код ОКПД2 носит информационный характер, соответствие закупаемого товара установленным Заказчиком требованиям определяется не указанным кодом, а показателями технических и эксплуатационных характеристик Технического задания.</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этом необходимо отметить, что Закон о контрактной системе не содержит норм, ограничивающих право заказчика включать в описание объекта закупки требования к объекту закупки, которые являются для него значимыми,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Таким образом, Техническое задание составлено Заказчиком в соответствии с пунктами 6, 7 Правил №145, исходя из потребности Заказчика и с учетом специфики его деятельности, следовательно, довод Заявителя о неправомерном указании в описании объекта закупки кода ОКПД2 вместо соответствующего кода КТРУ, Комиссией Карельского УФАС России признается необоснованным.</w:t>
      </w:r>
    </w:p>
    <w:p>
      <w:pPr>
        <w:pStyle w:val="Style12"/>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своей жалобе Заявитель указывает также на то, что Заказчик включил в описание объекта закупки излишние характеристики товара, соответствующие единственному производителю ТАМАЗ:</w:t>
      </w:r>
    </w:p>
    <w:tbl>
      <w:tblPr>
        <w:tblOverlap w:val="never"/>
        <w:jc w:val="center"/>
        <w:tblLayout w:type="fixed"/>
      </w:tblPr>
      <w:tblGrid>
        <w:gridCol w:w="796"/>
        <w:gridCol w:w="7031"/>
        <w:gridCol w:w="2412"/>
      </w:tblGrid>
      <w:tr>
        <w:trPr>
          <w:trHeight w:val="75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3</w:t>
            </w:r>
          </w:p>
        </w:tc>
        <w:tc>
          <w:tcPr>
            <w:gridSpan w:val="2"/>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4"/>
                <w:szCs w:val="24"/>
              </w:rPr>
            </w:pPr>
            <w:r>
              <w:rPr>
                <w:b/>
                <w:bCs/>
                <w:color w:val="000000"/>
                <w:spacing w:val="0"/>
                <w:w w:val="100"/>
                <w:position w:val="0"/>
                <w:sz w:val="24"/>
                <w:szCs w:val="24"/>
                <w:shd w:val="clear" w:color="auto" w:fill="auto"/>
                <w:lang w:val="ru-RU" w:eastAsia="ru-RU" w:bidi="ru-RU"/>
              </w:rPr>
              <w:t>Технические характеристики:</w:t>
            </w:r>
          </w:p>
        </w:tc>
      </w:tr>
      <w:tr>
        <w:trPr>
          <w:trHeight w:val="565"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3.1</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Максимальная индукция импульса магнитной стимуляции (стимула) для охлаждаемого индуктора (при частоте 100 Гц):</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менее 2,8 Тл</w:t>
            </w:r>
          </w:p>
        </w:tc>
      </w:tr>
      <w:tr>
        <w:trPr>
          <w:trHeight w:val="295"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3.2</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Форма стимулов:</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бифазная</w:t>
            </w:r>
          </w:p>
        </w:tc>
      </w:tr>
      <w:tr>
        <w:trPr>
          <w:trHeight w:val="288"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3.3</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Длина кабеля индуктора:</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менее 2,1м</w:t>
            </w:r>
          </w:p>
        </w:tc>
      </w:tr>
      <w:tr>
        <w:trPr>
          <w:trHeight w:val="57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3.4</w:t>
            </w:r>
          </w:p>
        </w:tc>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Число уровней громкости звукового сигнала, подтверждающего нажатие клавиш управления:</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менее 5</w:t>
            </w:r>
          </w:p>
        </w:tc>
      </w:tr>
      <w:tr>
        <w:trPr>
          <w:trHeight w:val="313" w:hRule="exact"/>
        </w:trPr>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3.19</w:t>
            </w:r>
          </w:p>
        </w:tc>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Вес в передвижном варианте с колесиками</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более 70 кг</w:t>
            </w:r>
          </w:p>
        </w:tc>
      </w:tr>
    </w:tbl>
    <w:p>
      <w:pPr>
        <w:widowControl w:val="0"/>
        <w:spacing w:after="299" w:line="1" w:lineRule="exact"/>
      </w:pPr>
    </w:p>
    <w:p>
      <w:pPr>
        <w:pStyle w:val="Style28"/>
        <w:keepNext w:val="0"/>
        <w:keepLines w:val="0"/>
        <w:widowControl w:val="0"/>
        <w:shd w:val="clear" w:color="auto" w:fill="auto"/>
        <w:tabs>
          <w:tab w:pos="6668" w:val="right"/>
          <w:tab w:pos="6811" w:val="left"/>
          <w:tab w:pos="10213" w:val="right"/>
        </w:tabs>
        <w:bidi w:val="0"/>
        <w:spacing w:before="0" w:after="0" w:line="240" w:lineRule="auto"/>
        <w:ind w:left="0" w:right="0" w:firstLine="580"/>
        <w:jc w:val="both"/>
      </w:pPr>
      <w:r>
        <w:fldChar w:fldCharType="begin"/>
        <w:instrText xml:space="preserve"> TOC \o "1-5" \h \z </w:instrText>
        <w:fldChar w:fldCharType="separate"/>
      </w:r>
      <w:r>
        <w:rPr>
          <w:color w:val="000000"/>
          <w:spacing w:val="0"/>
          <w:w w:val="100"/>
          <w:position w:val="0"/>
          <w:shd w:val="clear" w:color="auto" w:fill="auto"/>
          <w:lang w:val="ru-RU" w:eastAsia="ru-RU" w:bidi="ru-RU"/>
        </w:rPr>
        <w:t>Изучив представленную Заявителем сравнительную таблицу с функциональными характеристиками оборудования двух</w:t>
        <w:tab/>
        <w:t>производителей</w:t>
        <w:tab/>
        <w:t>- Кешей (Южная Корея)</w:t>
        <w:tab/>
        <w:t>и</w:t>
      </w:r>
    </w:p>
    <w:p>
      <w:pPr>
        <w:pStyle w:val="Style28"/>
        <w:keepNext w:val="0"/>
        <w:keepLines w:val="0"/>
        <w:widowControl w:val="0"/>
        <w:shd w:val="clear" w:color="auto" w:fill="auto"/>
        <w:tabs>
          <w:tab w:pos="6733" w:val="left"/>
        </w:tabs>
        <w:bidi w:val="0"/>
        <w:spacing w:before="0" w:after="0" w:line="240" w:lineRule="auto"/>
        <w:ind w:left="0" w:right="0" w:firstLine="0"/>
        <w:jc w:val="both"/>
      </w:pPr>
      <w:r>
        <w:rPr>
          <w:color w:val="000000"/>
          <w:spacing w:val="0"/>
          <w:w w:val="100"/>
          <w:position w:val="0"/>
          <w:shd w:val="clear" w:color="auto" w:fill="auto"/>
          <w:lang w:val="ru-RU" w:eastAsia="ru-RU" w:bidi="ru-RU"/>
        </w:rPr>
        <w:t>Ма^УепШге А/8 (Дания), которые, как утверждает</w:t>
        <w:tab/>
        <w:t>Заказчик, соответствуют его</w:t>
      </w:r>
    </w:p>
    <w:p>
      <w:pPr>
        <w:pStyle w:val="Style28"/>
        <w:keepNext w:val="0"/>
        <w:keepLines w:val="0"/>
        <w:widowControl w:val="0"/>
        <w:shd w:val="clear" w:color="auto" w:fill="auto"/>
        <w:tabs>
          <w:tab w:pos="6668" w:val="right"/>
          <w:tab w:pos="6814" w:val="left"/>
          <w:tab w:pos="10213" w:val="right"/>
        </w:tabs>
        <w:bidi w:val="0"/>
        <w:spacing w:before="0" w:after="0" w:line="240" w:lineRule="auto"/>
        <w:ind w:left="0" w:right="0" w:firstLine="0"/>
        <w:jc w:val="both"/>
      </w:pPr>
      <w:r>
        <w:rPr>
          <w:color w:val="000000"/>
          <w:spacing w:val="0"/>
          <w:w w:val="100"/>
          <w:position w:val="0"/>
          <w:shd w:val="clear" w:color="auto" w:fill="auto"/>
          <w:lang w:val="ru-RU" w:eastAsia="ru-RU" w:bidi="ru-RU"/>
        </w:rPr>
        <w:t>требованиям, Комиссия Карельского</w:t>
        <w:tab/>
        <w:t>УФАС России</w:t>
        <w:tab/>
        <w:t>установила противоречия</w:t>
        <w:tab/>
        <w:t>и</w:t>
      </w:r>
    </w:p>
    <w:p>
      <w:pPr>
        <w:pStyle w:val="Style28"/>
        <w:keepNext w:val="0"/>
        <w:keepLines w:val="0"/>
        <w:widowControl w:val="0"/>
        <w:shd w:val="clear" w:color="auto" w:fill="auto"/>
        <w:tabs>
          <w:tab w:pos="6668" w:val="right"/>
          <w:tab w:pos="6811" w:val="left"/>
          <w:tab w:pos="7823" w:val="left"/>
          <w:tab w:pos="10213" w:val="right"/>
        </w:tabs>
        <w:bidi w:val="0"/>
        <w:spacing w:before="0" w:after="0" w:line="240" w:lineRule="auto"/>
        <w:ind w:left="0" w:right="0" w:firstLine="0"/>
        <w:jc w:val="both"/>
      </w:pPr>
      <w:r>
        <w:rPr>
          <w:color w:val="000000"/>
          <w:spacing w:val="0"/>
          <w:w w:val="100"/>
          <w:position w:val="0"/>
          <w:shd w:val="clear" w:color="auto" w:fill="auto"/>
          <w:lang w:val="ru-RU" w:eastAsia="ru-RU" w:bidi="ru-RU"/>
        </w:rPr>
        <w:t>несоответствия ряда характеристик</w:t>
        <w:tab/>
        <w:t>товара двух</w:t>
        <w:tab/>
        <w:t>таких</w:t>
        <w:tab/>
        <w:t>производителей,</w:t>
        <w:tab/>
        <w:t>с</w:t>
      </w:r>
      <w:r>
        <w:fldChar w:fldCharType="end"/>
      </w:r>
    </w:p>
    <w:p>
      <w:pPr>
        <w:pStyle w:val="Style1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характеристиками, установленными Заказчиком в описании объекта закупки.</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 свою очередь Заказчик не привел достаточных доказательств того, что Техническому заданию соответствует оборудование как минимум двух производителей. Более того, Комиссия констатирует, что обе заявки участников аукциона содержат одинаковые предложения о поставке Стимулятора электромагнитного транскраниального ТАМАЗ с принадлежностями, РУ от 13.11.2019 № РЗН 2013/152, производитель «РЕМЕД Ко., Лтд.» (Республика Корея); все три представленные Заказчиком коммерческие предложения также содержат идентичный товар.</w:t>
      </w:r>
    </w:p>
    <w:p>
      <w:pPr>
        <w:pStyle w:val="Style12"/>
        <w:keepNext w:val="0"/>
        <w:keepLines w:val="0"/>
        <w:widowControl w:val="0"/>
        <w:shd w:val="clear" w:color="auto" w:fill="auto"/>
        <w:bidi w:val="0"/>
        <w:spacing w:before="0" w:after="300" w:line="240" w:lineRule="auto"/>
        <w:ind w:left="0" w:right="0" w:firstLine="580"/>
        <w:jc w:val="both"/>
      </w:pPr>
      <w:r>
        <w:rPr>
          <w:color w:val="000000"/>
          <w:spacing w:val="0"/>
          <w:w w:val="100"/>
          <w:position w:val="0"/>
          <w:shd w:val="clear" w:color="auto" w:fill="auto"/>
          <w:lang w:val="ru-RU" w:eastAsia="ru-RU" w:bidi="ru-RU"/>
        </w:rPr>
        <w:t>Таким образом, Комиссия Карельского УФАС России приходит к выводу, что Заказчик включил в Техническое задание требования к закупаемому товару, которые прямо свидетельствуют о единственном производителе данного медицинского изделия, в связи с чем в действиях Заказчика установлены нарушения части 2 статьи 8, пункта 1 части 1 статьи 33 Закона о контрактной системе, выразившиеся во включении в описание объекта закупки требований, соответствующих товару единственного производителя, которые могут повлечь за собой необоснованное ограничение числа участников закупки; усматриваются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pPr>
        <w:pStyle w:val="Style12"/>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Вместе с тем, при наличии у Заказчика объективной потребности в закупке товара с необходимыми характеристиками и требованиями, а также при указании в Техническом задании обоснования их применения, которое Комиссия посчитала достаточным и правомерным, а также учитывая то, что на участие в аукционе подано 2 заявки, участники закупки в составе заявок представили документы в соответствии с требованиями Заказчика, Комиссия считает нецелесообразным выдачу Заказчику предписания об устранении нарушений и аннулировании результатов электронного аукциона.</w:t>
      </w:r>
    </w:p>
    <w:p>
      <w:pPr>
        <w:pStyle w:val="Style12"/>
        <w:keepNext w:val="0"/>
        <w:keepLines w:val="0"/>
        <w:widowControl w:val="0"/>
        <w:shd w:val="clear" w:color="auto" w:fill="auto"/>
        <w:bidi w:val="0"/>
        <w:spacing w:before="0" w:after="140" w:line="240" w:lineRule="auto"/>
        <w:ind w:left="0" w:right="0" w:firstLine="580"/>
        <w:jc w:val="both"/>
      </w:pPr>
      <w:r>
        <w:rPr>
          <w:color w:val="000000"/>
          <w:spacing w:val="0"/>
          <w:w w:val="100"/>
          <w:position w:val="0"/>
          <w:shd w:val="clear" w:color="auto" w:fill="auto"/>
          <w:lang w:val="ru-RU" w:eastAsia="ru-RU" w:bidi="ru-RU"/>
        </w:rPr>
        <w:t>На основании вышеизложенного и руководствуясь статьёй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15"/>
        <w:keepNext/>
        <w:keepLines/>
        <w:widowControl w:val="0"/>
        <w:shd w:val="clear" w:color="auto" w:fill="auto"/>
        <w:bidi w:val="0"/>
        <w:spacing w:before="0" w:after="300" w:line="240" w:lineRule="auto"/>
        <w:ind w:left="0" w:right="0" w:firstLine="0"/>
        <w:jc w:val="center"/>
      </w:pPr>
      <w:bookmarkStart w:id="11" w:name="bookmark11"/>
      <w:r>
        <w:rPr>
          <w:color w:val="000000"/>
          <w:spacing w:val="0"/>
          <w:w w:val="100"/>
          <w:position w:val="0"/>
          <w:shd w:val="clear" w:color="auto" w:fill="auto"/>
          <w:lang w:val="ru-RU" w:eastAsia="ru-RU" w:bidi="ru-RU"/>
        </w:rPr>
        <w:t>РЕШИЛА:</w:t>
      </w:r>
      <w:bookmarkEnd w:id="11"/>
    </w:p>
    <w:p>
      <w:pPr>
        <w:pStyle w:val="Style12"/>
        <w:keepNext w:val="0"/>
        <w:keepLines w:val="0"/>
        <w:widowControl w:val="0"/>
        <w:numPr>
          <w:ilvl w:val="0"/>
          <w:numId w:val="5"/>
        </w:numPr>
        <w:shd w:val="clear" w:color="auto" w:fill="auto"/>
        <w:tabs>
          <w:tab w:pos="787"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Признать жалобу ООО «ОНФД» на действия Заказчика - ГБУЗ РК «Госпиталь для ветеранов войн» при проведении электронного аукциона на поставку изделий медицинского назначения и оборудования для реабилитации: системы магнитной нейростимуляции, передвижной (извещение № 0306200004523000049) обоснованной в части.</w:t>
      </w:r>
    </w:p>
    <w:p>
      <w:pPr>
        <w:pStyle w:val="Style12"/>
        <w:keepNext w:val="0"/>
        <w:keepLines w:val="0"/>
        <w:widowControl w:val="0"/>
        <w:numPr>
          <w:ilvl w:val="0"/>
          <w:numId w:val="5"/>
        </w:numPr>
        <w:shd w:val="clear" w:color="auto" w:fill="auto"/>
        <w:tabs>
          <w:tab w:pos="783"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В действиях Заказчика установлены нарушения части 2 статьи 8, пункта 1 части 1 статьи 33 Закона о контрактной системе.</w:t>
      </w:r>
    </w:p>
    <w:p>
      <w:pPr>
        <w:pStyle w:val="Style12"/>
        <w:keepNext w:val="0"/>
        <w:keepLines w:val="0"/>
        <w:widowControl w:val="0"/>
        <w:numPr>
          <w:ilvl w:val="0"/>
          <w:numId w:val="5"/>
        </w:numPr>
        <w:shd w:val="clear" w:color="auto" w:fill="auto"/>
        <w:tabs>
          <w:tab w:pos="801" w:val="left"/>
        </w:tabs>
        <w:bidi w:val="0"/>
        <w:spacing w:before="0" w:after="0" w:line="240" w:lineRule="auto"/>
        <w:ind w:left="0" w:right="0" w:firstLine="440"/>
        <w:jc w:val="both"/>
      </w:pPr>
      <w:r>
        <w:rPr>
          <w:color w:val="000000"/>
          <w:spacing w:val="0"/>
          <w:w w:val="100"/>
          <w:position w:val="0"/>
          <w:shd w:val="clear" w:color="auto" w:fill="auto"/>
          <w:lang w:val="ru-RU" w:eastAsia="ru-RU" w:bidi="ru-RU"/>
        </w:rPr>
        <w:t>Предписание об устранении нарушений законодательства о контрактной системе Заказчику не выдавать.</w:t>
      </w:r>
    </w:p>
    <w:p>
      <w:pPr>
        <w:pStyle w:val="Style12"/>
        <w:keepNext w:val="0"/>
        <w:keepLines w:val="0"/>
        <w:widowControl w:val="0"/>
        <w:numPr>
          <w:ilvl w:val="0"/>
          <w:numId w:val="5"/>
        </w:numPr>
        <w:shd w:val="clear" w:color="auto" w:fill="auto"/>
        <w:tabs>
          <w:tab w:pos="798" w:val="left"/>
        </w:tabs>
        <w:bidi w:val="0"/>
        <w:spacing w:before="0" w:after="300" w:line="240" w:lineRule="auto"/>
        <w:ind w:left="0" w:right="0" w:firstLine="440"/>
        <w:jc w:val="both"/>
      </w:pPr>
      <w:r>
        <w:rPr>
          <w:color w:val="000000"/>
          <w:spacing w:val="0"/>
          <w:w w:val="100"/>
          <w:position w:val="0"/>
          <w:shd w:val="clear" w:color="auto" w:fill="auto"/>
          <w:lang w:val="ru-RU" w:eastAsia="ru-RU" w:bidi="ru-RU"/>
        </w:rPr>
        <w:t>Передать материалы рассмотрения жалобы ООО «ОНФД» должностному лицу Карельского УФАС России для решения вопроса о возбуждении дела об административном правонарушении.</w:t>
      </w:r>
    </w:p>
    <w:p>
      <w:pPr>
        <w:pStyle w:val="Style30"/>
        <w:keepNext w:val="0"/>
        <w:keepLines w:val="0"/>
        <w:widowControl w:val="0"/>
        <w:shd w:val="clear" w:color="auto" w:fill="auto"/>
        <w:bidi w:val="0"/>
        <w:spacing w:before="0" w:line="240" w:lineRule="auto"/>
        <w:ind w:left="0" w:right="0" w:firstLine="0"/>
        <w:jc w:val="center"/>
      </w:pPr>
      <w:r>
        <w:rPr>
          <w:color w:val="000000"/>
          <w:spacing w:val="0"/>
          <w:w w:val="100"/>
          <w:position w:val="0"/>
          <w:shd w:val="clear" w:color="auto" w:fill="auto"/>
          <w:lang w:val="ru-RU" w:eastAsia="ru-RU" w:bidi="ru-RU"/>
        </w:rPr>
        <w:t>Настоящее решение может быть обжаловано в Арбитражном суде Республики Карелия</w:t>
        <w:br/>
        <w:t>в течение 3-х месяцев с момента его принятия</w:t>
      </w:r>
    </w:p>
    <w:p>
      <w:pPr>
        <w:pStyle w:val="Style12"/>
        <w:keepNext w:val="0"/>
        <w:keepLines w:val="0"/>
        <w:widowControl w:val="0"/>
        <w:shd w:val="clear" w:color="auto" w:fill="auto"/>
        <w:tabs>
          <w:tab w:pos="7448" w:val="left"/>
        </w:tabs>
        <w:bidi w:val="0"/>
        <w:spacing w:before="0" w:after="300" w:line="240" w:lineRule="auto"/>
        <w:ind w:left="0" w:right="0" w:firstLine="0"/>
        <w:jc w:val="both"/>
      </w:pPr>
      <w:r>
        <w:rPr>
          <w:color w:val="000000"/>
          <w:spacing w:val="0"/>
          <w:w w:val="100"/>
          <w:position w:val="0"/>
          <w:shd w:val="clear" w:color="auto" w:fill="auto"/>
          <w:lang w:val="ru-RU" w:eastAsia="ru-RU" w:bidi="ru-RU"/>
        </w:rPr>
        <w:t>Заместитель председателя Комиссии</w:t>
        <w:tab/>
      </w:r>
      <w:r>
        <w:rPr>
          <w:color w:val="1F1C5A"/>
          <w:spacing w:val="0"/>
          <w:w w:val="100"/>
          <w:position w:val="0"/>
          <w:u w:val="single"/>
          <w:shd w:val="clear" w:color="auto" w:fill="auto"/>
          <w:lang w:val="ru-RU" w:eastAsia="ru-RU" w:bidi="ru-RU"/>
        </w:rPr>
        <w:t>|-^</w:t>
      </w:r>
      <w:r>
        <w:rPr>
          <w:color w:val="1F1C5A"/>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М.С. Суханов</w:t>
      </w:r>
    </w:p>
    <w:p>
      <w:pPr>
        <w:pStyle w:val="Style12"/>
        <w:keepNext w:val="0"/>
        <w:keepLines w:val="0"/>
        <w:widowControl w:val="0"/>
        <w:shd w:val="clear" w:color="auto" w:fill="auto"/>
        <w:tabs>
          <w:tab w:pos="8543" w:val="left"/>
        </w:tabs>
        <w:bidi w:val="0"/>
        <w:spacing w:before="0" w:after="300" w:line="240" w:lineRule="auto"/>
        <w:ind w:left="0" w:right="0" w:firstLine="0"/>
        <w:jc w:val="both"/>
      </w:pPr>
      <w:r>
        <w:rPr>
          <w:color w:val="000000"/>
          <w:spacing w:val="0"/>
          <w:w w:val="100"/>
          <w:position w:val="0"/>
          <w:shd w:val="clear" w:color="auto" w:fill="auto"/>
          <w:lang w:val="ru-RU" w:eastAsia="ru-RU" w:bidi="ru-RU"/>
        </w:rPr>
        <w:t>Члены комиссии</w:t>
        <w:tab/>
      </w:r>
      <w:r>
        <w:rPr>
          <w:color w:val="000000"/>
          <w:spacing w:val="0"/>
          <w:w w:val="100"/>
          <w:position w:val="0"/>
          <w:shd w:val="clear" w:color="auto" w:fill="auto"/>
          <w:vertAlign w:val="superscript"/>
          <w:lang w:val="ru-RU" w:eastAsia="ru-RU" w:bidi="ru-RU"/>
        </w:rPr>
        <w:t>В</w:t>
      </w:r>
      <w:r>
        <w:rPr>
          <w:color w:val="000000"/>
          <w:spacing w:val="0"/>
          <w:w w:val="100"/>
          <w:position w:val="0"/>
          <w:shd w:val="clear" w:color="auto" w:fill="auto"/>
          <w:lang w:val="ru-RU" w:eastAsia="ru-RU" w:bidi="ru-RU"/>
        </w:rPr>
        <w:t>• Лайдинен</w:t>
      </w:r>
    </w:p>
    <w:p>
      <w:pPr>
        <w:pStyle w:val="Style12"/>
        <w:keepNext w:val="0"/>
        <w:keepLines w:val="0"/>
        <w:widowControl w:val="0"/>
        <w:shd w:val="clear" w:color="auto" w:fill="auto"/>
        <w:bidi w:val="0"/>
        <w:spacing w:before="0" w:after="0" w:line="240" w:lineRule="auto"/>
        <w:ind w:left="0" w:right="1760" w:firstLine="0"/>
        <w:jc w:val="right"/>
      </w:pPr>
      <w:r>
        <w:rPr>
          <w:color w:val="000000"/>
          <w:spacing w:val="0"/>
          <w:w w:val="100"/>
          <w:position w:val="0"/>
          <w:shd w:val="clear" w:color="auto" w:fill="auto"/>
          <w:lang w:val="ru-RU" w:eastAsia="ru-RU" w:bidi="ru-RU"/>
        </w:rPr>
        <w:t>О.В. Ковалева</w:t>
      </w:r>
    </w:p>
    <w:p>
      <w:pPr>
        <w:pStyle w:val="Style34"/>
        <w:keepNext/>
        <w:keepLines/>
        <w:widowControl w:val="0"/>
        <w:pBdr>
          <w:top w:val="single" w:sz="4" w:space="0" w:color="auto"/>
        </w:pBdr>
        <w:shd w:val="clear" w:color="auto" w:fill="auto"/>
        <w:bidi w:val="0"/>
        <w:spacing w:before="0"/>
        <w:ind w:left="0" w:firstLine="0"/>
        <w:jc w:val="right"/>
      </w:pPr>
      <w:bookmarkStart w:id="13" w:name="bookmark13"/>
      <w:r>
        <w:rPr>
          <w:spacing w:val="0"/>
          <w:w w:val="100"/>
          <w:position w:val="0"/>
          <w:shd w:val="clear" w:color="auto" w:fill="auto"/>
          <w:lang w:val="ru-RU" w:eastAsia="ru-RU" w:bidi="ru-RU"/>
        </w:rPr>
        <w:t>Т~</w:t>
      </w:r>
      <w:bookmarkEnd w:id="13"/>
    </w:p>
    <w:sectPr>
      <w:footnotePr>
        <w:pos w:val="pageBottom"/>
        <w:numFmt w:val="decimal"/>
        <w:numRestart w:val="continuous"/>
      </w:footnotePr>
      <w:pgSz w:w="11900" w:h="16840"/>
      <w:pgMar w:top="960" w:right="481" w:bottom="1187" w:left="1065"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807085</wp:posOffset>
              </wp:positionH>
              <wp:positionV relativeFrom="page">
                <wp:posOffset>10005695</wp:posOffset>
              </wp:positionV>
              <wp:extent cx="655955" cy="107315"/>
              <wp:wrapNone/>
              <wp:docPr id="3" name="Shape 3"/>
              <a:graphic xmlns:a="http://schemas.openxmlformats.org/drawingml/2006/main">
                <a:graphicData uri="http://schemas.microsoft.com/office/word/2010/wordprocessingShape">
                  <wps:wsp>
                    <wps:cNvSpPr txBox="1"/>
                    <wps:spPr>
                      <a:xfrm>
                        <a:ext cx="655955" cy="10731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2023-1839</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63.550000000000004pt;margin-top:787.85000000000002pt;width:51.649999999999999pt;height:8.4499999999999993pt;z-index:-188744062;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2023-1839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7">
    <w:name w:val="Основной текст (4)_"/>
    <w:basedOn w:val="DefaultParagraphFont"/>
    <w:link w:val="Style6"/>
    <w:rPr>
      <w:rFonts w:ascii="Arial" w:eastAsia="Arial" w:hAnsi="Arial" w:cs="Arial"/>
      <w:b w:val="0"/>
      <w:bCs w:val="0"/>
      <w:i/>
      <w:iCs/>
      <w:smallCaps w:val="0"/>
      <w:strike w:val="0"/>
      <w:color w:val="1F1C5A"/>
      <w:sz w:val="24"/>
      <w:szCs w:val="24"/>
      <w:u w:val="single"/>
    </w:rPr>
  </w:style>
  <w:style w:type="character" w:customStyle="1" w:styleId="CharStyle11">
    <w:name w:val="Основной текст (5)_"/>
    <w:basedOn w:val="DefaultParagraphFont"/>
    <w:link w:val="Style10"/>
    <w:rPr>
      <w:rFonts w:ascii="Times New Roman" w:eastAsia="Times New Roman" w:hAnsi="Times New Roman" w:cs="Times New Roman"/>
      <w:b w:val="0"/>
      <w:bCs w:val="0"/>
      <w:i w:val="0"/>
      <w:iCs w:val="0"/>
      <w:smallCaps w:val="0"/>
      <w:strike w:val="0"/>
      <w:sz w:val="19"/>
      <w:szCs w:val="19"/>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sz w:val="26"/>
      <w:szCs w:val="26"/>
      <w:u w:val="none"/>
    </w:rPr>
  </w:style>
  <w:style w:type="character" w:customStyle="1" w:styleId="CharStyle16">
    <w:name w:val="Заголовок №3_"/>
    <w:basedOn w:val="DefaultParagraphFont"/>
    <w:link w:val="Style15"/>
    <w:rPr>
      <w:rFonts w:ascii="Times New Roman" w:eastAsia="Times New Roman" w:hAnsi="Times New Roman" w:cs="Times New Roman"/>
      <w:b/>
      <w:bCs/>
      <w:i w:val="0"/>
      <w:iCs w:val="0"/>
      <w:smallCaps w:val="0"/>
      <w:strike w:val="0"/>
      <w:sz w:val="26"/>
      <w:szCs w:val="26"/>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Заголовок №2_"/>
    <w:basedOn w:val="DefaultParagraphFont"/>
    <w:link w:val="Style20"/>
    <w:rPr>
      <w:rFonts w:ascii="Arial" w:eastAsia="Arial" w:hAnsi="Arial" w:cs="Arial"/>
      <w:b w:val="0"/>
      <w:bCs w:val="0"/>
      <w:i w:val="0"/>
      <w:iCs w:val="0"/>
      <w:smallCaps w:val="0"/>
      <w:strike w:val="0"/>
      <w:sz w:val="32"/>
      <w:szCs w:val="32"/>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9">
    <w:name w:val="Оглавление_"/>
    <w:basedOn w:val="DefaultParagraphFont"/>
    <w:link w:val="Style28"/>
    <w:rPr>
      <w:rFonts w:ascii="Times New Roman" w:eastAsia="Times New Roman" w:hAnsi="Times New Roman" w:cs="Times New Roman"/>
      <w:b w:val="0"/>
      <w:bCs w:val="0"/>
      <w:i w:val="0"/>
      <w:iCs w:val="0"/>
      <w:smallCaps w:val="0"/>
      <w:strike w:val="0"/>
      <w:sz w:val="26"/>
      <w:szCs w:val="26"/>
      <w:u w:val="none"/>
    </w:rPr>
  </w:style>
  <w:style w:type="character" w:customStyle="1" w:styleId="CharStyle31">
    <w:name w:val="Основной текст (3)_"/>
    <w:basedOn w:val="DefaultParagraphFont"/>
    <w:link w:val="Style30"/>
    <w:rPr>
      <w:rFonts w:ascii="Times New Roman" w:eastAsia="Times New Roman" w:hAnsi="Times New Roman" w:cs="Times New Roman"/>
      <w:b w:val="0"/>
      <w:bCs w:val="0"/>
      <w:i/>
      <w:iCs/>
      <w:smallCaps w:val="0"/>
      <w:strike w:val="0"/>
      <w:sz w:val="22"/>
      <w:szCs w:val="22"/>
      <w:u w:val="none"/>
    </w:rPr>
  </w:style>
  <w:style w:type="character" w:customStyle="1" w:styleId="CharStyle35">
    <w:name w:val="Заголовок №1_"/>
    <w:basedOn w:val="DefaultParagraphFont"/>
    <w:link w:val="Style34"/>
    <w:rPr>
      <w:rFonts w:ascii="Arial" w:eastAsia="Arial" w:hAnsi="Arial" w:cs="Arial"/>
      <w:b w:val="0"/>
      <w:bCs w:val="0"/>
      <w:i/>
      <w:iCs/>
      <w:smallCaps w:val="0"/>
      <w:strike w:val="0"/>
      <w:color w:val="1F1C5A"/>
      <w:sz w:val="58"/>
      <w:szCs w:val="58"/>
      <w:u w:val="none"/>
    </w:rPr>
  </w:style>
  <w:style w:type="paragraph" w:customStyle="1" w:styleId="Style2">
    <w:name w:val="Основной текст (2)"/>
    <w:basedOn w:val="Normal"/>
    <w:link w:val="CharStyle3"/>
    <w:pPr>
      <w:widowControl w:val="0"/>
      <w:shd w:val="clear" w:color="auto" w:fill="auto"/>
      <w:spacing w:line="271"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6">
    <w:name w:val="Основной текст (4)"/>
    <w:basedOn w:val="Normal"/>
    <w:link w:val="CharStyle7"/>
    <w:pPr>
      <w:widowControl w:val="0"/>
      <w:shd w:val="clear" w:color="auto" w:fill="auto"/>
    </w:pPr>
    <w:rPr>
      <w:rFonts w:ascii="Arial" w:eastAsia="Arial" w:hAnsi="Arial" w:cs="Arial"/>
      <w:b w:val="0"/>
      <w:bCs w:val="0"/>
      <w:i/>
      <w:iCs/>
      <w:smallCaps w:val="0"/>
      <w:strike w:val="0"/>
      <w:color w:val="1F1C5A"/>
      <w:sz w:val="24"/>
      <w:szCs w:val="24"/>
      <w:u w:val="single"/>
    </w:rPr>
  </w:style>
  <w:style w:type="paragraph" w:customStyle="1" w:styleId="Style10">
    <w:name w:val="Основной текст (5)"/>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19"/>
      <w:szCs w:val="19"/>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5">
    <w:name w:val="Заголовок №3"/>
    <w:basedOn w:val="Normal"/>
    <w:link w:val="CharStyle16"/>
    <w:pPr>
      <w:widowControl w:val="0"/>
      <w:shd w:val="clear" w:color="auto" w:fill="auto"/>
      <w:spacing w:after="200"/>
      <w:jc w:val="center"/>
      <w:outlineLvl w:val="2"/>
    </w:pPr>
    <w:rPr>
      <w:rFonts w:ascii="Times New Roman" w:eastAsia="Times New Roman" w:hAnsi="Times New Roman" w:cs="Times New Roman"/>
      <w:b/>
      <w:bCs/>
      <w:i w:val="0"/>
      <w:iCs w:val="0"/>
      <w:smallCaps w:val="0"/>
      <w:strike w:val="0"/>
      <w:sz w:val="26"/>
      <w:szCs w:val="26"/>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Заголовок №2"/>
    <w:basedOn w:val="Normal"/>
    <w:link w:val="CharStyle21"/>
    <w:pPr>
      <w:widowControl w:val="0"/>
      <w:shd w:val="clear" w:color="auto" w:fill="auto"/>
      <w:spacing w:after="280"/>
      <w:outlineLvl w:val="1"/>
    </w:pPr>
    <w:rPr>
      <w:rFonts w:ascii="Arial" w:eastAsia="Arial" w:hAnsi="Arial" w:cs="Arial"/>
      <w:b w:val="0"/>
      <w:bCs w:val="0"/>
      <w:i w:val="0"/>
      <w:iCs w:val="0"/>
      <w:smallCaps w:val="0"/>
      <w:strike w:val="0"/>
      <w:sz w:val="32"/>
      <w:szCs w:val="32"/>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8">
    <w:name w:val="Оглавление"/>
    <w:basedOn w:val="Normal"/>
    <w:link w:val="CharStyle29"/>
    <w:pPr>
      <w:widowControl w:val="0"/>
      <w:shd w:val="clear" w:color="auto" w:fill="auto"/>
      <w:ind w:firstLine="290"/>
    </w:pPr>
    <w:rPr>
      <w:rFonts w:ascii="Times New Roman" w:eastAsia="Times New Roman" w:hAnsi="Times New Roman" w:cs="Times New Roman"/>
      <w:b w:val="0"/>
      <w:bCs w:val="0"/>
      <w:i w:val="0"/>
      <w:iCs w:val="0"/>
      <w:smallCaps w:val="0"/>
      <w:strike w:val="0"/>
      <w:sz w:val="26"/>
      <w:szCs w:val="26"/>
      <w:u w:val="none"/>
    </w:rPr>
  </w:style>
  <w:style w:type="paragraph" w:customStyle="1" w:styleId="Style30">
    <w:name w:val="Основной текст (3)"/>
    <w:basedOn w:val="Normal"/>
    <w:link w:val="CharStyle31"/>
    <w:pPr>
      <w:widowControl w:val="0"/>
      <w:shd w:val="clear" w:color="auto" w:fill="auto"/>
      <w:spacing w:after="540"/>
      <w:jc w:val="center"/>
    </w:pPr>
    <w:rPr>
      <w:rFonts w:ascii="Times New Roman" w:eastAsia="Times New Roman" w:hAnsi="Times New Roman" w:cs="Times New Roman"/>
      <w:b w:val="0"/>
      <w:bCs w:val="0"/>
      <w:i/>
      <w:iCs/>
      <w:smallCaps w:val="0"/>
      <w:strike w:val="0"/>
      <w:sz w:val="22"/>
      <w:szCs w:val="22"/>
      <w:u w:val="none"/>
    </w:rPr>
  </w:style>
  <w:style w:type="paragraph" w:customStyle="1" w:styleId="Style34">
    <w:name w:val="Заголовок №1"/>
    <w:basedOn w:val="Normal"/>
    <w:link w:val="CharStyle35"/>
    <w:pPr>
      <w:widowControl w:val="0"/>
      <w:shd w:val="clear" w:color="auto" w:fill="auto"/>
      <w:spacing w:after="300" w:line="180" w:lineRule="auto"/>
      <w:ind w:right="1760"/>
      <w:jc w:val="right"/>
      <w:outlineLvl w:val="0"/>
    </w:pPr>
    <w:rPr>
      <w:rFonts w:ascii="Arial" w:eastAsia="Arial" w:hAnsi="Arial" w:cs="Arial"/>
      <w:b w:val="0"/>
      <w:bCs w:val="0"/>
      <w:i/>
      <w:iCs/>
      <w:smallCaps w:val="0"/>
      <w:strike w:val="0"/>
      <w:color w:val="1F1C5A"/>
      <w:sz w:val="58"/>
      <w:szCs w:val="5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s>
</file>