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723900</wp:posOffset>
                </wp:positionH>
                <wp:positionV relativeFrom="paragraph">
                  <wp:posOffset>716280</wp:posOffset>
                </wp:positionV>
                <wp:extent cx="2578735" cy="1755775"/>
                <wp:wrapSquare wrapText="bothSides"/>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6.399999999999999pt;width:203.05000000000001pt;height:138.2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anchorx="page"/>
              </v:shape>
            </w:pict>
          </mc:Fallback>
        </mc:AlternateContent>
      </w:r>
      <w:r>
        <w:drawing>
          <wp:anchor distT="435610" distB="0" distL="117475" distR="114300" simplePos="0" relativeHeight="125829381" behindDoc="0" locked="0" layoutInCell="1" allowOverlap="1">
            <wp:simplePos x="0" y="0"/>
            <wp:positionH relativeFrom="page">
              <wp:posOffset>727075</wp:posOffset>
            </wp:positionH>
            <wp:positionV relativeFrom="paragraph">
              <wp:posOffset>3081020</wp:posOffset>
            </wp:positionV>
            <wp:extent cx="2597150" cy="18288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2645410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pt;margin-top:208.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 xml:space="preserve">Общество с ограниченной ответственностью «Репутация права» </w:t>
      </w:r>
      <w:r>
        <w:rPr>
          <w:color w:val="000000"/>
          <w:spacing w:val="0"/>
          <w:w w:val="100"/>
          <w:position w:val="0"/>
          <w:shd w:val="clear" w:color="auto" w:fill="auto"/>
          <w:lang w:val="ru-RU" w:eastAsia="ru-RU" w:bidi="ru-RU"/>
        </w:rPr>
        <w:t>143909, Московская обл., г. Балашиха, ул.</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Трубецкая, д. 52 «Г»</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 xml:space="preserve">е-тай: </w:t>
      </w:r>
      <w:r>
        <w:rPr>
          <w:color w:val="000080"/>
          <w:spacing w:val="0"/>
          <w:w w:val="100"/>
          <w:position w:val="0"/>
          <w:u w:val="single"/>
          <w:shd w:val="clear" w:color="auto" w:fill="auto"/>
          <w:lang w:val="ru-RU" w:eastAsia="ru-RU" w:bidi="ru-RU"/>
        </w:rPr>
        <w:t>5001119833@тай.ш</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Отдел по развитию городской территории администрации Куртамышского муниципального округа Курганской области</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 xml:space="preserve">641430, Курганская обл., Куртамышский р- н, г. Куртамыш, ул. 22 Партсъезда, д. 44 е-тай: </w:t>
      </w:r>
      <w:r>
        <w:fldChar w:fldCharType="begin"/>
      </w:r>
      <w:r>
        <w:rPr/>
        <w:instrText> HYPERLINK "mailto:kurtamysh-gorod@yandex.ru" </w:instrText>
      </w:r>
      <w:r>
        <w:fldChar w:fldCharType="separate"/>
      </w:r>
      <w:r>
        <w:rPr>
          <w:color w:val="000080"/>
          <w:spacing w:val="0"/>
          <w:w w:val="100"/>
          <w:position w:val="0"/>
          <w:u w:val="single"/>
          <w:shd w:val="clear" w:color="auto" w:fill="auto"/>
          <w:lang w:val="ru-RU" w:eastAsia="ru-RU" w:bidi="ru-RU"/>
        </w:rPr>
        <w:t>кш1ату8Й-дого^@,уап^ех.ш</w:t>
      </w:r>
      <w:r>
        <w:fldChar w:fldCharType="end"/>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Центральный территориальный отдел Юргамышского муниципального округа Курганской области</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641200, Курганская область, р.п. Юргамыш, ул. Крупской, д.2</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Администрация Белозерского муниципального округа Курганской области</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641360, Курганская обл., Белозерский район, с. Белозерское, ул. Карла Маркса, 16</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Управление развития сельских территорий Администрации Звериноголовского муниципального округа Курганской области</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641480, Курганская обл., Звериноголовский м.о., с. Звериноголовское, ул. К.Маркса, д. 8</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Комитет по организации жилищно</w:t>
        <w:softHyphen/>
        <w:t>коммунального хозяйства и капитальному строительству Администрации Кетовского муниципального округа Курганской области</w:t>
      </w:r>
    </w:p>
    <w:p>
      <w:pPr>
        <w:pStyle w:val="Style10"/>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680" w:bottom="1217" w:left="6094" w:header="0" w:footer="3" w:gutter="0"/>
          <w:pgNumType w:start="1"/>
          <w:cols w:space="720"/>
          <w:noEndnote/>
          <w:rtlGutter w:val="0"/>
          <w:docGrid w:linePitch="360"/>
        </w:sectPr>
      </w:pPr>
      <w:r>
        <w:rPr>
          <w:color w:val="000000"/>
          <w:spacing w:val="0"/>
          <w:w w:val="100"/>
          <w:position w:val="0"/>
          <w:shd w:val="clear" w:color="auto" w:fill="auto"/>
          <w:lang w:val="ru-RU" w:eastAsia="ru-RU" w:bidi="ru-RU"/>
        </w:rPr>
        <w:t xml:space="preserve">641310, Курганская область, Кетовский район, с. Кетово, ул. Космонавтов, д. 39 е-тай: </w:t>
      </w:r>
      <w:r>
        <w:fldChar w:fldCharType="begin"/>
      </w:r>
      <w:r>
        <w:rPr/>
        <w:instrText> HYPERLINK "mailto:ketovo.oks@yandex.ru" </w:instrText>
      </w:r>
      <w:r>
        <w:fldChar w:fldCharType="separate"/>
      </w:r>
      <w:r>
        <w:rPr>
          <w:color w:val="000080"/>
          <w:spacing w:val="0"/>
          <w:w w:val="100"/>
          <w:position w:val="0"/>
          <w:u w:val="single"/>
          <w:shd w:val="clear" w:color="auto" w:fill="auto"/>
          <w:lang w:val="ru-RU" w:eastAsia="ru-RU" w:bidi="ru-RU"/>
        </w:rPr>
        <w:t>ке1оуо.ок8@,уаЫех.ш</w:t>
      </w:r>
      <w:r>
        <w:fldChar w:fldCharType="end"/>
      </w: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7"/>
        <w:keepNext/>
        <w:keepLines/>
        <w:framePr w:w="2486" w:h="523" w:wrap="none" w:vAnchor="text" w:hAnchor="page" w:x="1098" w:y="21"/>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widowControl w:val="0"/>
        <w:spacing w:after="522" w:line="1" w:lineRule="exact"/>
      </w:pPr>
    </w:p>
    <w:p>
      <w:pPr>
        <w:widowControl w:val="0"/>
        <w:spacing w:line="1" w:lineRule="exact"/>
        <w:sectPr>
          <w:footnotePr>
            <w:pos w:val="pageBottom"/>
            <w:numFmt w:val="decimal"/>
            <w:numRestart w:val="continuous"/>
          </w:footnotePr>
          <w:type w:val="continuous"/>
          <w:pgSz w:w="11900" w:h="16840"/>
          <w:pgMar w:top="284" w:right="680" w:bottom="1216" w:left="1097"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640003, Курганская область, г. Курган, ул. Р. Зорге, д. 20, офис 1</w:t>
      </w:r>
    </w:p>
    <w:p>
      <w:pPr>
        <w:pStyle w:val="Style10"/>
        <w:keepNext w:val="0"/>
        <w:keepLines w:val="0"/>
        <w:widowControl w:val="0"/>
        <w:shd w:val="clear" w:color="auto" w:fill="auto"/>
        <w:bidi w:val="0"/>
        <w:spacing w:before="0" w:after="1180" w:line="240" w:lineRule="auto"/>
        <w:ind w:left="5020" w:right="0" w:firstLine="0"/>
        <w:jc w:val="left"/>
      </w:pPr>
      <w:r>
        <w:rPr>
          <w:color w:val="000000"/>
          <w:spacing w:val="0"/>
          <w:w w:val="100"/>
          <w:position w:val="0"/>
          <w:shd w:val="clear" w:color="auto" w:fill="auto"/>
          <w:lang w:val="ru-RU" w:eastAsia="ru-RU" w:bidi="ru-RU"/>
        </w:rPr>
        <w:t xml:space="preserve">е-та1: </w:t>
      </w:r>
      <w:r>
        <w:rPr>
          <w:color w:val="0000FF"/>
          <w:spacing w:val="0"/>
          <w:w w:val="100"/>
          <w:position w:val="0"/>
          <w:u w:val="single"/>
          <w:shd w:val="clear" w:color="auto" w:fill="auto"/>
          <w:lang w:val="ru-RU" w:eastAsia="ru-RU" w:bidi="ru-RU"/>
        </w:rPr>
        <w:t>ид2@,кигдапоЫ.ш</w:t>
      </w: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 № 045/06/106-213/2023</w:t>
      </w:r>
    </w:p>
    <w:p>
      <w:pPr>
        <w:pStyle w:val="Style10"/>
        <w:keepNext w:val="0"/>
        <w:keepLines w:val="0"/>
        <w:widowControl w:val="0"/>
        <w:shd w:val="clear" w:color="auto" w:fill="auto"/>
        <w:bidi w:val="0"/>
        <w:spacing w:before="0" w:after="280" w:line="240" w:lineRule="auto"/>
        <w:ind w:left="4640" w:right="0" w:hanging="3480"/>
        <w:jc w:val="left"/>
      </w:pPr>
      <w:r>
        <w:rPr>
          <w:b/>
          <w:bCs/>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15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27.04.2023 г.</w:t>
        <w:tab/>
        <w:t>г. Курган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Башкирова И.Г. - государственный инспектор отдела контроля товарных, финансовых рынков и рекламного законодательства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отсутствии представителей Заказчиков в рамках совместного аукциона - о времени и месте рассмотрения жалобы извещены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представителей не обеспечили, ходатайств о рассмотрении жалобы в отсутствие представителей не поступало,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 Колдина А.Н. (доверенность № 1 от 01.03.2023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отсутствие представителя Заявителя - Общества с ограниченной ответственностью «Репутация права» (далее - ООО «Репутация права»,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w:t>
      </w:r>
      <w:r>
        <w:rPr>
          <w:color w:val="000000"/>
          <w:spacing w:val="0"/>
          <w:w w:val="100"/>
          <w:position w:val="0"/>
          <w:shd w:val="clear" w:color="auto" w:fill="auto"/>
          <w:lang w:val="ru-RU" w:eastAsia="ru-RU" w:bidi="ru-RU"/>
        </w:rPr>
        <w:t>не обеспечили, ходатайств о рассмотрении жалобы в отсутствие представителя не поступало,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«Репутация права» на действия Заказчиков в рамках совместного аукциона, при участии Уполномоченного учреждения - ГКУ «Центр закупок и бухгалтерского учета Курганской области», при осуществлении закупки путем проведения совместного электронного аукциона на выполнение работ на объекте по ремонту автомобильной дороги (извещение № 0843500000223001920),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24.04.2023 г. в Курганское УФАС России поступила жалоба </w:t>
      </w:r>
      <w:r>
        <w:rPr>
          <w:color w:val="00000A"/>
          <w:spacing w:val="0"/>
          <w:w w:val="100"/>
          <w:position w:val="0"/>
          <w:shd w:val="clear" w:color="auto" w:fill="auto"/>
          <w:lang w:val="ru-RU" w:eastAsia="ru-RU" w:bidi="ru-RU"/>
        </w:rPr>
        <w:t>ООО «Репутация права» (Рег. Номер 1694-ЭП/23) на действия Заказчиков в рамках совместного аукциона, при участии Уполномоченного учреждения - ГКУ «Центр закупок и бухгалтерского учета Курганской области», при осуществлении закупки путем проведения совместного электронного аукциона на выполнение работ на объекте по ремонту автомобильной дороги (извещение № 0843500000223001920)</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жалобе указывает, что в нарушение части 23 статьи 34, пункта 4 части 2 статьи 42 Закона о контрактной системе в проекты контрактов не включено требование об обязанности поставщика (подрядчика, исполнителя) предоставлять информацию о всем соисполнителях, субподрядчика, заключивших договор или договоры с поставщиком (подрядчиком, исполнителем), цены которого или общая цена которых составляет более чем 10 (десять) % цены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признать жалобу обоснованной; провести внеплановую проверку; выдать обязательное для исполнения предписание о внесении изменений; привлечь виновных лиц к административной ответственности.</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просит признать жалобу необоснованной.</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13.04.2023 г. в ЕИС опубликовано извещение о проведении совместного электронного аукциона на выполнение работ на объекте по ремонту автомобильной дороги (извещение № 0843500000223001920).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121 449 729 рублей 53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Заказчиками совместной закупки являются Отдел по развитию городской территории администрации Куртамышского муниципального округа Курганской области; Центральный территориальный отдел Юргамышского муниципального округа Курганской области; Администрация Белозерского муниципального округа Курганской области; Управление развития сельских территорий Администрации Звериноголовского муниципального округа Курганской области; Комитет по организации жилищно</w:t>
        <w:softHyphen/>
        <w:t>коммунального хозяйства и капитальному строительству Администрации Кетовского муниципального округа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Координатором совместной закупки выступает Отдел по развитию городской территории администрации Куртамышского муниципального округа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1 статьи 9 Закона о контрактной системе, контрактная система в сфере закупок предусматривает осуществление деятельности заказчика, </w:t>
      </w:r>
      <w:r>
        <w:rPr>
          <w:color w:val="000000"/>
          <w:spacing w:val="0"/>
          <w:w w:val="100"/>
          <w:position w:val="0"/>
          <w:shd w:val="clear" w:color="auto" w:fill="auto"/>
          <w:lang w:val="ru-RU" w:eastAsia="ru-RU" w:bidi="ru-RU"/>
        </w:rPr>
        <w:t>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части 1 статьи 25 Закона о контрактной системе следует, что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При проведении совместного конкурса или аукциона применяются положения Закона о контрактной системе о проведении конкурсов, аукционов с учетом следующих особенностей:</w:t>
      </w:r>
    </w:p>
    <w:p>
      <w:pPr>
        <w:pStyle w:val="Style10"/>
        <w:keepNext w:val="0"/>
        <w:keepLines w:val="0"/>
        <w:widowControl w:val="0"/>
        <w:numPr>
          <w:ilvl w:val="0"/>
          <w:numId w:val="1"/>
        </w:numPr>
        <w:shd w:val="clear" w:color="auto" w:fill="auto"/>
        <w:tabs>
          <w:tab w:pos="11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pPr>
        <w:pStyle w:val="Style10"/>
        <w:keepNext w:val="0"/>
        <w:keepLines w:val="0"/>
        <w:widowControl w:val="0"/>
        <w:numPr>
          <w:ilvl w:val="0"/>
          <w:numId w:val="1"/>
        </w:numPr>
        <w:shd w:val="clear" w:color="auto" w:fill="auto"/>
        <w:tabs>
          <w:tab w:pos="11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частью 24 статьи 22 Закона о контрактной системе,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конкурса или аукциона;</w:t>
      </w:r>
    </w:p>
    <w:p>
      <w:pPr>
        <w:pStyle w:val="Style10"/>
        <w:keepNext w:val="0"/>
        <w:keepLines w:val="0"/>
        <w:widowControl w:val="0"/>
        <w:numPr>
          <w:ilvl w:val="0"/>
          <w:numId w:val="1"/>
        </w:numPr>
        <w:shd w:val="clear" w:color="auto" w:fill="auto"/>
        <w:tabs>
          <w:tab w:pos="11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 или аукциона, предусматривающее снижение определенной в соответствии с пунктом 2 части 1 статьи 25 Закона о контрактной системе суммы начальных (максимальных) цен всех таких контрактов. В случае, предусмотренном частью 24 статьи 22 Закона о контрактной системе, участник закупки подает предложение о сумме цен единиц товара, работы, услуги;</w:t>
      </w:r>
    </w:p>
    <w:p>
      <w:pPr>
        <w:pStyle w:val="Style10"/>
        <w:keepNext w:val="0"/>
        <w:keepLines w:val="0"/>
        <w:widowControl w:val="0"/>
        <w:numPr>
          <w:ilvl w:val="0"/>
          <w:numId w:val="1"/>
        </w:numPr>
        <w:shd w:val="clear" w:color="auto" w:fill="auto"/>
        <w:tabs>
          <w:tab w:pos="11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контракт по результатам проведения совместного конкурса или аукциона заключается каждой стороной соглашения в порядке, предусмотренном Законом о контрактной системе.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w:t>
      </w:r>
      <w:r>
        <w:rPr>
          <w:color w:val="000000"/>
          <w:spacing w:val="0"/>
          <w:w w:val="100"/>
          <w:position w:val="0"/>
          <w:shd w:val="clear" w:color="auto" w:fill="auto"/>
          <w:lang w:val="ru-RU" w:eastAsia="ru-RU" w:bidi="ru-RU"/>
        </w:rPr>
        <w:t>совместного конкурса или аукциона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предусмотренном частью 24 статьи 22 Закона о контрактной системе, в проект каждого контракта включается максимальное значение цены соответствующего контракта, а также цена единицы товара, работы, услуги, которая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pPr>
        <w:pStyle w:val="Style10"/>
        <w:keepNext w:val="0"/>
        <w:keepLines w:val="0"/>
        <w:widowControl w:val="0"/>
        <w:numPr>
          <w:ilvl w:val="0"/>
          <w:numId w:val="1"/>
        </w:numPr>
        <w:shd w:val="clear" w:color="auto" w:fill="auto"/>
        <w:tabs>
          <w:tab w:pos="119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обращение о согласовании заключения контракта с единственным поставщиком (подрядчиком, исполнителем) в соответствии с Закона о контрактной системе направляется в контрольный орган в сфере закупок каждой стороной соглашения.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приведенного следует, что, в силу пункта 4 части 1 статьи 25 Закона о контрактной системе,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23 статьи 34 Закона о контрактной системе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РФ от 04.09.2013 ^ 775 установлены размеры НМЦК,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 в том числе: 100 млн. рублей - при осуществлении закупки для обеспечения нужд субъекта Российской Федерации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извещение об осуществлении закупки (в случае проведения совместного конкурса или аукциона) должно содержать в том числе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(пункт 2 части 1 статьи 25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Вопреки доводам Заявителя, извещение об осуществлении закупки № 0843500000223001920 содержит начальную (максимальную) цену каждого контракта, при этом, ни одна из таких начальных (максимальных) цен не превышает 100 млн.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материалы дела, заслушав пояснения лиц, участвовавших в заседании, Комиссия Курганского УФАС России признала довод жалобы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82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статьей 106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статьями 99, 106 Закона о контрактной системе, Комиссией Курганского УФАС России,</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380" w:line="240" w:lineRule="auto"/>
        <w:ind w:left="0" w:right="0" w:firstLine="820"/>
        <w:jc w:val="both"/>
      </w:pPr>
      <w:r>
        <w:rPr>
          <w:color w:val="000000"/>
          <w:spacing w:val="0"/>
          <w:w w:val="100"/>
          <w:position w:val="0"/>
          <w:shd w:val="clear" w:color="auto" w:fill="auto"/>
          <w:lang w:val="ru-RU" w:eastAsia="ru-RU" w:bidi="ru-RU"/>
        </w:rPr>
        <w:t>Признать жалобу Общества с ограниченной ответственностью «Репутация права» необоснованной.</w:t>
      </w:r>
    </w:p>
    <w:p>
      <w:pPr>
        <w:pStyle w:val="Style10"/>
        <w:keepNext w:val="0"/>
        <w:keepLines w:val="0"/>
        <w:widowControl w:val="0"/>
        <w:shd w:val="clear" w:color="auto" w:fill="auto"/>
        <w:bidi w:val="0"/>
        <w:spacing w:before="0" w:after="480" w:line="240" w:lineRule="auto"/>
        <w:ind w:left="0" w:right="0" w:firstLine="820"/>
        <w:jc w:val="both"/>
      </w:pPr>
      <w:r>
        <w:rPr>
          <w:i/>
          <w:iCs/>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pos="5118" w:val="left"/>
          <w:tab w:leader="underscore" w:pos="7393" w:val="left"/>
        </w:tabs>
        <w:bidi w:val="0"/>
        <w:spacing w:before="0" w:after="160" w:line="240" w:lineRule="auto"/>
        <w:ind w:left="0" w:right="0" w:firstLine="0"/>
        <w:jc w:val="both"/>
      </w:pPr>
      <w:r>
        <w:rPr>
          <w:color w:val="00000A"/>
          <w:spacing w:val="0"/>
          <w:w w:val="100"/>
          <w:position w:val="0"/>
          <w:shd w:val="clear" w:color="auto" w:fill="auto"/>
          <w:lang w:val="ru-RU" w:eastAsia="ru-RU" w:bidi="ru-RU"/>
        </w:rPr>
        <w:t>Заместитель Председателя Комиссии:</w:t>
        <w:tab/>
        <w:tab/>
        <w:t xml:space="preserve"> / А.В. Иванова</w:t>
      </w:r>
    </w:p>
    <w:p>
      <w:pPr>
        <w:pStyle w:val="Style10"/>
        <w:keepNext w:val="0"/>
        <w:keepLines w:val="0"/>
        <w:widowControl w:val="0"/>
        <w:shd w:val="clear" w:color="auto" w:fill="auto"/>
        <w:tabs>
          <w:tab w:leader="underscore" w:pos="5118" w:val="left"/>
          <w:tab w:pos="5319" w:val="left"/>
        </w:tabs>
        <w:bidi w:val="0"/>
        <w:spacing w:before="0" w:after="160" w:line="240" w:lineRule="auto"/>
        <w:ind w:left="282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663575</wp:posOffset>
                </wp:positionH>
                <wp:positionV relativeFrom="paragraph">
                  <wp:posOffset>12700</wp:posOffset>
                </wp:positionV>
                <wp:extent cx="1319530" cy="240665"/>
                <wp:wrapSquare wrapText="bothSides"/>
                <wp:docPr id="11" name="Shape 11"/>
                <a:graphic xmlns:a="http://schemas.openxmlformats.org/drawingml/2006/main">
                  <a:graphicData uri="http://schemas.microsoft.com/office/word/2010/wordprocessingShape">
                    <wps:wsp>
                      <wps:cNvSpPr txBox="1"/>
                      <wps:spPr>
                        <a:xfrm>
                          <a:ext cx="1319530" cy="2406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7" type="#_x0000_t202" style="position:absolute;margin-left:52.25pt;margin-top:1.pt;width:103.90000000000001pt;height:18.949999999999999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A"/>
          <w:spacing w:val="0"/>
          <w:w w:val="100"/>
          <w:position w:val="0"/>
          <w:shd w:val="clear" w:color="auto" w:fill="auto"/>
          <w:lang w:val="ru-RU" w:eastAsia="ru-RU" w:bidi="ru-RU"/>
        </w:rPr>
        <w:tab/>
        <w:tab/>
        <w:t>/ И.М. Стрижова</w:t>
      </w:r>
    </w:p>
    <w:p>
      <w:pPr>
        <w:pStyle w:val="Style10"/>
        <w:keepNext w:val="0"/>
        <w:keepLines w:val="0"/>
        <w:widowControl w:val="0"/>
        <w:shd w:val="clear" w:color="auto" w:fill="auto"/>
        <w:tabs>
          <w:tab w:leader="underscore" w:pos="7393" w:val="left"/>
          <w:tab w:pos="7579" w:val="left"/>
        </w:tabs>
        <w:bidi w:val="0"/>
        <w:spacing w:before="0" w:after="280" w:line="240" w:lineRule="auto"/>
        <w:ind w:left="5080" w:right="0" w:firstLine="0"/>
        <w:jc w:val="left"/>
      </w:pPr>
      <w:r>
        <w:rPr>
          <w:color w:val="00000A"/>
          <w:spacing w:val="0"/>
          <w:w w:val="100"/>
          <w:position w:val="0"/>
          <w:shd w:val="clear" w:color="auto" w:fill="auto"/>
          <w:lang w:val="ru-RU" w:eastAsia="ru-RU" w:bidi="ru-RU"/>
        </w:rPr>
        <w:tab/>
        <w:tab/>
        <w:t>/ И.Г. Башкирова</w:t>
      </w:r>
    </w:p>
    <w:sectPr>
      <w:footerReference w:type="default" r:id="rId10"/>
      <w:footnotePr>
        <w:pos w:val="pageBottom"/>
        <w:numFmt w:val="decimal"/>
        <w:numRestart w:val="continuous"/>
      </w:footnotePr>
      <w:pgSz w:w="11900" w:h="16840"/>
      <w:pgMar w:top="1106" w:right="501" w:bottom="1159" w:left="1045" w:header="67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2023-1500</w:t>
                          </w:r>
                        </w:p>
                      </w:txbxContent>
                    </wps:txbx>
                    <wps:bodyPr wrap="none" lIns="0" tIns="0" rIns="0" bIns="0">
                      <a:spAutoFit/>
                    </wps:bodyPr>
                  </wps:wsp>
                </a:graphicData>
              </a:graphic>
            </wp:anchor>
          </w:drawing>
        </mc:Choice>
        <mc:Fallback>
          <w:pict>
            <v:shape id="_x0000_s1035"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715645</wp:posOffset>
              </wp:positionH>
              <wp:positionV relativeFrom="page">
                <wp:posOffset>10021570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2023-1500</w:t>
                          </w:r>
                        </w:p>
                      </w:txbxContent>
                    </wps:txbx>
                    <wps:bodyPr wrap="none" lIns="0" tIns="0" rIns="0" bIns="0">
                      <a:spAutoFit/>
                    </wps:bodyPr>
                  </wps:wsp>
                </a:graphicData>
              </a:graphic>
            </wp:anchor>
          </w:drawing>
        </mc:Choice>
        <mc:Fallback>
          <w:pict>
            <v:shape id="_x0000_s1039" type="#_x0000_t202" style="position:absolute;margin-left:56.350000000000001pt;margin-top:789.1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8"/>
      <w:szCs w:val="38"/>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