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ФЕДЕРАЛЬНАЯ</w:t>
      </w:r>
    </w:p>
    <w:p>
      <w:pPr>
        <w:pStyle w:val="Style2"/>
        <w:keepNext w:val="0"/>
        <w:keepLines w:val="0"/>
        <w:widowControl w:val="0"/>
        <w:shd w:val="clear" w:color="auto" w:fill="auto"/>
        <w:bidi w:val="0"/>
        <w:spacing w:before="0" w:after="12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УПРАВЛЕНИЕ</w:t>
        <w:br/>
        <w:t>Феяерадынш &gt;шгимом&lt;шол.ыши</w:t>
        <w:br/>
        <w:t>службы ио .Хаиты-Млиеияекомх*</w:t>
        <w:br/>
        <w:t>аогойо.мному окрул’ • Югре</w:t>
      </w:r>
    </w:p>
    <w:p>
      <w:pPr>
        <w:pStyle w:val="Style7"/>
        <w:keepNext w:val="0"/>
        <w:keepLines w:val="0"/>
        <w:widowControl w:val="0"/>
        <w:shd w:val="clear" w:color="auto" w:fill="auto"/>
        <w:tabs>
          <w:tab w:pos="646" w:val="left"/>
        </w:tabs>
        <w:bidi w:val="0"/>
        <w:spacing w:before="0" w:after="0"/>
        <w:ind w:left="0" w:right="0" w:firstLine="0"/>
        <w:jc w:val="center"/>
      </w:pPr>
      <w:r>
        <w:rPr>
          <w:color w:val="000000"/>
          <w:spacing w:val="0"/>
          <w:w w:val="100"/>
          <w:position w:val="0"/>
          <w:shd w:val="clear" w:color="auto" w:fill="auto"/>
          <w:lang w:val="ru-RU" w:eastAsia="ru-RU" w:bidi="ru-RU"/>
        </w:rPr>
        <w:t>УЛ V*! 1</w:t>
        <w:tab/>
        <w:t>2 \Л1 \1и НИ / ПР</w:t>
      </w:r>
    </w:p>
    <w:p>
      <w:pPr>
        <w:pStyle w:val="Style2"/>
        <w:keepNext w:val="0"/>
        <w:keepLines w:val="0"/>
        <w:widowControl w:val="0"/>
        <w:shd w:val="clear" w:color="auto" w:fill="auto"/>
        <w:tabs>
          <w:tab w:pos="1483" w:val="left"/>
        </w:tabs>
        <w:bidi w:val="0"/>
        <w:spacing w:before="0" w:after="0" w:line="240" w:lineRule="auto"/>
        <w:ind w:left="0" w:right="0" w:firstLine="0"/>
        <w:jc w:val="center"/>
      </w:pPr>
      <w:r>
        <w:rPr>
          <w:color w:val="000000"/>
          <w:spacing w:val="0"/>
          <w:w w:val="100"/>
          <w:position w:val="0"/>
          <w:shd w:val="clear" w:color="auto" w:fill="auto"/>
          <w:lang w:val="ru-RU" w:eastAsia="ru-RU" w:bidi="ru-RU"/>
        </w:rPr>
        <w:t xml:space="preserve">» М &gt; н У </w:t>
      </w:r>
      <w:r>
        <w:rPr>
          <w:color w:val="000000"/>
          <w:spacing w:val="0"/>
          <w:w w:val="100"/>
          <w:position w:val="0"/>
          <w:shd w:val="clear" w:color="auto" w:fill="auto"/>
          <w:vertAlign w:val="superscript"/>
          <w:lang w:val="ru-RU" w:eastAsia="ru-RU" w:bidi="ru-RU"/>
        </w:rPr>
        <w:t>7</w:t>
      </w:r>
      <w:r>
        <w:rPr>
          <w:color w:val="000000"/>
          <w:spacing w:val="0"/>
          <w:w w:val="100"/>
          <w:position w:val="0"/>
          <w:shd w:val="clear" w:color="auto" w:fill="auto"/>
          <w:lang w:val="ru-RU" w:eastAsia="ru-RU" w:bidi="ru-RU"/>
        </w:rPr>
        <w:t xml:space="preserve"> Ь-&lt; 5</w:t>
        <w:tab/>
        <w:t>-1</w:t>
      </w:r>
    </w:p>
    <w:p>
      <w:pPr>
        <w:pStyle w:val="Style7"/>
        <w:keepNext w:val="0"/>
        <w:keepLines w:val="0"/>
        <w:widowControl w:val="0"/>
        <w:shd w:val="clear" w:color="auto" w:fill="auto"/>
        <w:tabs>
          <w:tab w:pos="646" w:val="left"/>
        </w:tabs>
        <w:bidi w:val="0"/>
        <w:spacing w:before="0"/>
        <w:ind w:left="0" w:right="0" w:firstLine="0"/>
        <w:jc w:val="center"/>
      </w:pPr>
      <w:r>
        <w:rPr>
          <w:color w:val="000000"/>
          <w:spacing w:val="0"/>
          <w:w w:val="100"/>
          <w:position w:val="0"/>
          <w:shd w:val="clear" w:color="auto" w:fill="auto"/>
          <w:lang w:val="ru-RU" w:eastAsia="ru-RU" w:bidi="ru-RU"/>
        </w:rPr>
        <w:t xml:space="preserve">пэ 11 х Ир । П[ </w:t>
      </w:r>
      <w:r>
        <w:rPr>
          <w:rFonts w:ascii="Times New Roman" w:eastAsia="Times New Roman" w:hAnsi="Times New Roman" w:cs="Times New Roman"/>
          <w:b/>
          <w:bCs/>
          <w:i/>
          <w:iCs/>
          <w:color w:val="000000"/>
          <w:spacing w:val="0"/>
          <w:w w:val="100"/>
          <w:position w:val="0"/>
          <w:sz w:val="9"/>
          <w:szCs w:val="9"/>
          <w:shd w:val="clear" w:color="auto" w:fill="auto"/>
          <w:lang w:val="ru-RU" w:eastAsia="ru-RU" w:bidi="ru-RU"/>
        </w:rPr>
        <w:t>I</w:t>
      </w:r>
      <w:r>
        <w:rPr>
          <w:color w:val="000000"/>
          <w:spacing w:val="0"/>
          <w:w w:val="100"/>
          <w:position w:val="0"/>
          <w:shd w:val="clear" w:color="auto" w:fill="auto"/>
          <w:lang w:val="ru-RU" w:eastAsia="ru-RU" w:bidi="ru-RU"/>
        </w:rPr>
        <w:t xml:space="preserve"> о $ \ н</w:t>
        <w:br/>
        <w:t>И Н \( I )</w:t>
        <w:tab/>
        <w:t>! ШЬи 101 &gt; (Я к )&lt;)«. с Ч</w:t>
      </w:r>
    </w:p>
    <w:p>
      <w:pPr>
        <w:pStyle w:val="Style10"/>
        <w:keepNext/>
        <w:keepLines/>
        <w:widowControl w:val="0"/>
        <w:shd w:val="clear" w:color="auto" w:fill="auto"/>
        <w:tabs>
          <w:tab w:leader="dot" w:pos="1498" w:val="left"/>
        </w:tabs>
        <w:bidi w:val="0"/>
        <w:spacing w:before="0" w:line="240" w:lineRule="auto"/>
        <w:ind w:left="0" w:right="0" w:firstLine="0"/>
        <w:jc w:val="left"/>
      </w:pPr>
      <w:bookmarkStart w:id="0" w:name="bookmark0"/>
      <w:r>
        <w:rPr>
          <w:rFonts w:ascii="Courier New" w:eastAsia="Courier New" w:hAnsi="Courier New" w:cs="Courier New"/>
          <w:color w:val="000000"/>
          <w:spacing w:val="0"/>
          <w:w w:val="100"/>
          <w:position w:val="0"/>
          <w:shd w:val="clear" w:color="auto" w:fill="auto"/>
          <w:lang w:val="ru-RU" w:eastAsia="ru-RU" w:bidi="ru-RU"/>
        </w:rPr>
        <w:t>21г.Ь^Аи</w:t>
        <w:tab/>
      </w:r>
      <w:bookmarkEnd w:id="0"/>
    </w:p>
    <w:p>
      <w:pPr>
        <w:pStyle w:val="Style2"/>
        <w:keepNext w:val="0"/>
        <w:keepLines w:val="0"/>
        <w:widowControl w:val="0"/>
        <w:shd w:val="clear" w:color="auto" w:fill="auto"/>
        <w:tabs>
          <w:tab w:pos="1234" w:val="left"/>
        </w:tabs>
        <w:bidi w:val="0"/>
        <w:spacing w:before="0" w:after="360"/>
        <w:ind w:left="0" w:right="0" w:firstLine="0"/>
        <w:jc w:val="left"/>
      </w:pPr>
      <w:r>
        <w:rPr>
          <w:color w:val="000000"/>
          <w:spacing w:val="0"/>
          <w:w w:val="100"/>
          <w:position w:val="0"/>
          <w:shd w:val="clear" w:color="auto" w:fill="auto"/>
          <w:lang w:val="ru-RU" w:eastAsia="ru-RU" w:bidi="ru-RU"/>
        </w:rPr>
        <w:t>Най</w:t>
        <w:tab/>
        <w:t>т-</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vertAlign w:val="superscript"/>
          <w:lang w:val="ru-RU" w:eastAsia="ru-RU" w:bidi="ru-RU"/>
        </w:rPr>
        <w:t>1</w:t>
      </w:r>
      <w:r>
        <w:rPr>
          <w:color w:val="000000"/>
          <w:spacing w:val="0"/>
          <w:w w:val="100"/>
          <w:position w:val="0"/>
          <w:shd w:val="clear" w:color="auto" w:fill="auto"/>
          <w:lang w:val="ru-RU" w:eastAsia="ru-RU" w:bidi="ru-RU"/>
        </w:rPr>
        <w:t xml:space="preserve"> Решение по жалобе №4070/23</w:t>
      </w:r>
    </w:p>
    <w:p>
      <w:pPr>
        <w:pStyle w:val="Style14"/>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hd w:val="clear" w:color="auto" w:fill="auto"/>
          <w:lang w:val="ru-RU" w:eastAsia="ru-RU" w:bidi="ru-RU"/>
        </w:rPr>
        <w:t>Оператор электронной площадки:</w:t>
      </w:r>
      <w:bookmarkEnd w:id="2"/>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АО "Сбербанк — АСТ"</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119435, г. Москва, Большой Саввинский</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переулок, д.12, стр.9</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тел.: (495) 7872999/97 доб. 369, Факс: (495)</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7872998</w:t>
      </w:r>
    </w:p>
    <w:p>
      <w:pPr>
        <w:pStyle w:val="Style12"/>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е-шай: ко@8ЬегЬапк-а81.га</w:t>
      </w:r>
    </w:p>
    <w:p>
      <w:pPr>
        <w:pStyle w:val="Style14"/>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hd w:val="clear" w:color="auto" w:fill="auto"/>
          <w:lang w:val="ru-RU" w:eastAsia="ru-RU" w:bidi="ru-RU"/>
        </w:rPr>
        <w:t>Заявитель:</w:t>
      </w:r>
      <w:bookmarkEnd w:id="4"/>
    </w:p>
    <w:p>
      <w:pPr>
        <w:pStyle w:val="Style12"/>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ИП Григорович Любовь Ивановна 183010, г. Лангепас, ул. Ленина, дом 11В</w:t>
      </w:r>
    </w:p>
    <w:p>
      <w:pPr>
        <w:pStyle w:val="Style14"/>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hd w:val="clear" w:color="auto" w:fill="auto"/>
          <w:lang w:val="ru-RU" w:eastAsia="ru-RU" w:bidi="ru-RU"/>
        </w:rPr>
        <w:t>Заказчик:</w:t>
      </w:r>
      <w:bookmarkEnd w:id="6"/>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Лангепасское городское муниципальное бюд</w:t>
        <w:softHyphen/>
        <w:t>жетное учреждение "Дорожно-эксплуатаци</w:t>
        <w:softHyphen/>
        <w:t>онное управление"</w:t>
      </w:r>
    </w:p>
    <w:p>
      <w:pPr>
        <w:pStyle w:val="Style12"/>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8400" w:h="11900"/>
          <w:pgMar w:top="1059" w:right="1224" w:bottom="2428" w:left="907" w:header="631" w:footer="3" w:gutter="0"/>
          <w:pgNumType w:start="1"/>
          <w:cols w:num="2" w:space="720" w:equalWidth="0">
            <w:col w:w="2592" w:space="682"/>
            <w:col w:w="2995"/>
          </w:cols>
          <w:noEndnote/>
          <w:rtlGutter w:val="0"/>
          <w:docGrid w:linePitch="360"/>
        </w:sectPr>
      </w:pPr>
      <w:r>
        <w:rPr>
          <w:color w:val="000000"/>
          <w:spacing w:val="0"/>
          <w:w w:val="100"/>
          <w:position w:val="0"/>
          <w:shd w:val="clear" w:color="auto" w:fill="auto"/>
          <w:lang w:val="ru-RU" w:eastAsia="ru-RU" w:bidi="ru-RU"/>
        </w:rPr>
        <w:t>628672, Ханты-Мансийский Автономный округ - Югра Автономный, город Лангепас, улица Ленина, И, В</w:t>
      </w:r>
    </w:p>
    <w:p>
      <w:pPr>
        <w:widowControl w:val="0"/>
        <w:spacing w:before="11" w:after="11" w:line="240" w:lineRule="exact"/>
        <w:rPr>
          <w:sz w:val="19"/>
          <w:szCs w:val="19"/>
        </w:rPr>
      </w:pPr>
    </w:p>
    <w:p>
      <w:pPr>
        <w:widowControl w:val="0"/>
        <w:spacing w:line="1" w:lineRule="exact"/>
        <w:sectPr>
          <w:footnotePr>
            <w:pos w:val="pageBottom"/>
            <w:numFmt w:val="decimal"/>
            <w:numRestart w:val="continuous"/>
          </w:footnotePr>
          <w:type w:val="continuous"/>
          <w:pgSz w:w="8400" w:h="11900"/>
          <w:pgMar w:top="1059" w:right="0" w:bottom="1850" w:left="0" w:header="0" w:footer="3" w:gutter="0"/>
          <w:cols w:space="720"/>
          <w:noEndnote/>
          <w:rtlGutter w:val="0"/>
          <w:docGrid w:linePitch="360"/>
        </w:sectPr>
      </w:pPr>
    </w:p>
    <w:p>
      <w:pPr>
        <w:pStyle w:val="Style14"/>
        <w:keepNext/>
        <w:keepLines/>
        <w:widowControl w:val="0"/>
        <w:shd w:val="clear" w:color="auto" w:fill="auto"/>
        <w:bidi w:val="0"/>
        <w:spacing w:before="0" w:after="160" w:line="240" w:lineRule="auto"/>
        <w:ind w:left="0" w:right="0" w:firstLine="0"/>
        <w:jc w:val="center"/>
      </w:pPr>
      <w:bookmarkStart w:id="8" w:name="bookmark8"/>
      <w:r>
        <w:rPr>
          <w:color w:val="000000"/>
          <w:spacing w:val="0"/>
          <w:w w:val="100"/>
          <w:position w:val="0"/>
          <w:shd w:val="clear" w:color="auto" w:fill="auto"/>
          <w:lang w:val="ru-RU" w:eastAsia="ru-RU" w:bidi="ru-RU"/>
        </w:rPr>
        <w:t>РЕШЕНИЕ №086/06/48-676/2023</w:t>
      </w:r>
      <w:bookmarkEnd w:id="8"/>
    </w:p>
    <w:p>
      <w:pPr>
        <w:pStyle w:val="Style12"/>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3657600</wp:posOffset>
                </wp:positionH>
                <wp:positionV relativeFrom="paragraph">
                  <wp:posOffset>12700</wp:posOffset>
                </wp:positionV>
                <wp:extent cx="829310" cy="121920"/>
                <wp:wrapSquare wrapText="left"/>
                <wp:docPr id="3" name="Shape 3"/>
                <a:graphic xmlns:a="http://schemas.openxmlformats.org/drawingml/2006/main">
                  <a:graphicData uri="http://schemas.microsoft.com/office/word/2010/wordprocessingShape">
                    <wps:wsp>
                      <wps:cNvSpPr txBox="1"/>
                      <wps:spPr>
                        <a:xfrm>
                          <a:ext cx="829310" cy="12192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wps:txbx>
                      <wps:bodyPr wrap="none" lIns="0" tIns="0" rIns="0" bIns="0">
                        <a:noAutoFit/>
                      </wps:bodyPr>
                    </wps:wsp>
                  </a:graphicData>
                </a:graphic>
              </wp:anchor>
            </w:drawing>
          </mc:Choice>
          <mc:Fallback>
            <w:pict>
              <v:shape id="_x0000_s1029" type="#_x0000_t202" style="position:absolute;margin-left:288.pt;margin-top:1.pt;width:65.299999999999997pt;height:9.5999999999999996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Ханты-Мансийск</w:t>
                      </w:r>
                    </w:p>
                  </w:txbxContent>
                </v:textbox>
                <w10:wrap type="square" side="left" anchorx="page"/>
              </v:shape>
            </w:pict>
          </mc:Fallback>
        </mc:AlternateContent>
      </w:r>
      <w:r>
        <w:rPr>
          <w:color w:val="000000"/>
          <w:spacing w:val="0"/>
          <w:w w:val="100"/>
          <w:position w:val="0"/>
          <w:shd w:val="clear" w:color="auto" w:fill="auto"/>
          <w:lang w:val="ru-RU" w:eastAsia="ru-RU" w:bidi="ru-RU"/>
        </w:rPr>
        <w:t>Резолютивная часть объявлена 26.04.2023</w:t>
      </w:r>
    </w:p>
    <w:p>
      <w:pPr>
        <w:pStyle w:val="Style12"/>
        <w:keepNext w:val="0"/>
        <w:keepLines w:val="0"/>
        <w:widowControl w:val="0"/>
        <w:shd w:val="clear" w:color="auto" w:fill="auto"/>
        <w:bidi w:val="0"/>
        <w:spacing w:before="0" w:after="160" w:line="240" w:lineRule="auto"/>
        <w:ind w:left="0" w:right="0" w:firstLine="0"/>
        <w:jc w:val="both"/>
      </w:pPr>
      <w:r>
        <w:rPr>
          <w:color w:val="000000"/>
          <w:spacing w:val="0"/>
          <w:w w:val="100"/>
          <w:position w:val="0"/>
          <w:shd w:val="clear" w:color="auto" w:fill="auto"/>
          <w:lang w:val="ru-RU" w:eastAsia="ru-RU" w:bidi="ru-RU"/>
        </w:rPr>
        <w:t>Изготовлено в полном объеме 02.05.2023</w:t>
      </w:r>
    </w:p>
    <w:p>
      <w:pPr>
        <w:pStyle w:val="Style12"/>
        <w:keepNext w:val="0"/>
        <w:keepLines w:val="0"/>
        <w:widowControl w:val="0"/>
        <w:shd w:val="clear" w:color="auto" w:fill="auto"/>
        <w:bidi w:val="0"/>
        <w:spacing w:before="0" w:after="160" w:line="240" w:lineRule="auto"/>
        <w:ind w:left="0" w:right="0" w:firstLine="4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Ханты-Мансийскому автономному округу - Югре (далее - Комиссия Управления) по контролю в сфере закупок товаров, работ, услуг для обеспечения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Председатель комиссии:</w:t>
      </w:r>
    </w:p>
    <w:p>
      <w:pPr>
        <w:pStyle w:val="Style12"/>
        <w:keepNext w:val="0"/>
        <w:keepLines w:val="0"/>
        <w:widowControl w:val="0"/>
        <w:numPr>
          <w:ilvl w:val="0"/>
          <w:numId w:val="1"/>
        </w:numPr>
        <w:shd w:val="clear" w:color="auto" w:fill="auto"/>
        <w:tabs>
          <w:tab w:pos="628"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Андрейцева Е.А. - Врио заместителя руководителя Управления;</w:t>
      </w:r>
    </w:p>
    <w:p>
      <w:pPr>
        <w:pStyle w:val="Style12"/>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Членов комиссии:</w:t>
      </w:r>
    </w:p>
    <w:p>
      <w:pPr>
        <w:pStyle w:val="Style12"/>
        <w:keepNext w:val="0"/>
        <w:keepLines w:val="0"/>
        <w:widowControl w:val="0"/>
        <w:numPr>
          <w:ilvl w:val="0"/>
          <w:numId w:val="1"/>
        </w:numPr>
        <w:shd w:val="clear" w:color="auto" w:fill="auto"/>
        <w:tabs>
          <w:tab w:pos="628"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Сафонов С.И.- Специалист-эксперт отдела Управления;</w:t>
      </w:r>
    </w:p>
    <w:p>
      <w:pPr>
        <w:pStyle w:val="Style12"/>
        <w:keepNext w:val="0"/>
        <w:keepLines w:val="0"/>
        <w:widowControl w:val="0"/>
        <w:shd w:val="clear" w:color="auto" w:fill="auto"/>
        <w:bidi w:val="0"/>
        <w:spacing w:before="0" w:after="160" w:line="240" w:lineRule="auto"/>
        <w:ind w:left="0" w:right="0" w:firstLine="440"/>
        <w:jc w:val="both"/>
      </w:pPr>
      <w:r>
        <w:rPr>
          <w:color w:val="000000"/>
          <w:spacing w:val="0"/>
          <w:w w:val="100"/>
          <w:position w:val="0"/>
          <w:shd w:val="clear" w:color="auto" w:fill="auto"/>
          <w:lang w:val="ru-RU" w:eastAsia="ru-RU" w:bidi="ru-RU"/>
        </w:rPr>
        <w:t>- Мацола А.А.- Старший специалист 1 разряда отдела Управления,</w:t>
      </w:r>
    </w:p>
    <w:p>
      <w:pPr>
        <w:pStyle w:val="Style12"/>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от Заявителя - отсутствовали, извещены надлежащим образом;</w:t>
      </w:r>
    </w:p>
    <w:p>
      <w:pPr>
        <w:pStyle w:val="Style12"/>
        <w:keepNext w:val="0"/>
        <w:keepLines w:val="0"/>
        <w:widowControl w:val="0"/>
        <w:shd w:val="clear" w:color="auto" w:fill="auto"/>
        <w:bidi w:val="0"/>
        <w:spacing w:before="0" w:after="160" w:line="240" w:lineRule="auto"/>
        <w:ind w:left="0" w:right="0" w:firstLine="440"/>
        <w:jc w:val="both"/>
      </w:pPr>
      <w:r>
        <w:rPr>
          <w:color w:val="000000"/>
          <w:spacing w:val="0"/>
          <w:w w:val="100"/>
          <w:position w:val="0"/>
          <w:shd w:val="clear" w:color="auto" w:fill="auto"/>
          <w:lang w:val="ru-RU" w:eastAsia="ru-RU" w:bidi="ru-RU"/>
        </w:rPr>
        <w:t>от Заказчика - отсутствовали, извещены надлежащим образом;</w:t>
      </w:r>
    </w:p>
    <w:p>
      <w:pPr>
        <w:pStyle w:val="Style12"/>
        <w:keepNext w:val="0"/>
        <w:keepLines w:val="0"/>
        <w:widowControl w:val="0"/>
        <w:shd w:val="clear" w:color="auto" w:fill="auto"/>
        <w:bidi w:val="0"/>
        <w:spacing w:before="0" w:after="160" w:line="240" w:lineRule="auto"/>
        <w:ind w:left="0" w:right="0" w:firstLine="440"/>
        <w:jc w:val="both"/>
        <w:sectPr>
          <w:footnotePr>
            <w:pos w:val="pageBottom"/>
            <w:numFmt w:val="decimal"/>
            <w:numRestart w:val="continuous"/>
          </w:footnotePr>
          <w:type w:val="continuous"/>
          <w:pgSz w:w="8400" w:h="11900"/>
          <w:pgMar w:top="1059" w:right="1061" w:bottom="1850" w:left="874" w:header="0" w:footer="3" w:gutter="0"/>
          <w:cols w:space="720"/>
          <w:noEndnote/>
          <w:rtlGutter w:val="0"/>
          <w:docGrid w:linePitch="360"/>
        </w:sectPr>
      </w:pPr>
      <w:r>
        <w:rPr>
          <w:color w:val="000000"/>
          <w:spacing w:val="0"/>
          <w:w w:val="100"/>
          <w:position w:val="0"/>
          <w:shd w:val="clear" w:color="auto" w:fill="auto"/>
          <w:lang w:val="ru-RU" w:eastAsia="ru-RU" w:bidi="ru-RU"/>
        </w:rPr>
        <w:t>рассмотрев жалобу ИП Григорович Любовь Ивановна (ИНН: 372201282626; ОГРН: 320370200031019) от 21.04.2023 № 4070/23, на действия Заказчика - Лангепасское городское муни</w:t>
        <w:softHyphen/>
        <w:t>ципальное бюджетное учреждение "Дорожно-эксплуатационное управление", при проведении запроса котировок в электронной форме, предметом которого является поставка арочного мегалло- детектора (извещение № 0387300117223000003) и в результате осуществления внеплановой про</w:t>
        <w:softHyphen/>
        <w:t>верки в соответствии с пунктом 1 части 15 статьи 99 Федерального закона от 05.04.2013 К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160" w:line="240" w:lineRule="auto"/>
        <w:ind w:left="0" w:right="0" w:firstLine="0"/>
        <w:jc w:val="center"/>
      </w:pPr>
      <w:bookmarkStart w:id="10" w:name="bookmark10"/>
      <w:r>
        <w:rPr>
          <w:color w:val="000000"/>
          <w:spacing w:val="0"/>
          <w:w w:val="100"/>
          <w:position w:val="0"/>
          <w:shd w:val="clear" w:color="auto" w:fill="auto"/>
          <w:lang w:val="ru-RU" w:eastAsia="ru-RU" w:bidi="ru-RU"/>
        </w:rPr>
        <w:t>УСТАНОВИЛА:</w:t>
      </w:r>
      <w:bookmarkEnd w:id="10"/>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Управление Федеральной антимонопольной службы по Ханты-Мансийскому автономному округу - Югре поступила жалоба ИП Григорович Любовь Ивановна (ИНН: 372201282626; ОГРН: 320370200031019) от 21.04.2023 № 4070/23, на действия Заказчика - Лангепасское городское муниципальное бюджетное учреждение "Дорожно-эксплуатационное управление", при проведении запроса котировок в электронной форме, предметом которого является поставка арочного металлодетекгора (извещение № 0387300117223000003).</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доводе жалобы Заявитель указал следующее:</w:t>
      </w:r>
    </w:p>
    <w:p>
      <w:pPr>
        <w:pStyle w:val="Style12"/>
        <w:keepNext w:val="0"/>
        <w:keepLines w:val="0"/>
        <w:widowControl w:val="0"/>
        <w:numPr>
          <w:ilvl w:val="0"/>
          <w:numId w:val="3"/>
        </w:numPr>
        <w:shd w:val="clear" w:color="auto" w:fill="auto"/>
        <w:tabs>
          <w:tab w:pos="691" w:val="left"/>
        </w:tabs>
        <w:bidi w:val="0"/>
        <w:spacing w:before="0" w:after="160" w:line="240" w:lineRule="auto"/>
        <w:ind w:left="0" w:right="0" w:firstLine="460"/>
        <w:jc w:val="both"/>
      </w:pPr>
      <w:r>
        <w:rPr>
          <w:color w:val="000000"/>
          <w:spacing w:val="0"/>
          <w:w w:val="100"/>
          <w:position w:val="0"/>
          <w:shd w:val="clear" w:color="auto" w:fill="auto"/>
          <w:lang w:val="ru-RU" w:eastAsia="ru-RU" w:bidi="ru-RU"/>
        </w:rPr>
        <w:t>Аукционная комиссия неправомерно отклонила заявку Заявителя.</w:t>
      </w:r>
    </w:p>
    <w:p>
      <w:pPr>
        <w:pStyle w:val="Style14"/>
        <w:keepNext/>
        <w:keepLines/>
        <w:widowControl w:val="0"/>
        <w:shd w:val="clear" w:color="auto" w:fill="auto"/>
        <w:bidi w:val="0"/>
        <w:spacing w:before="0" w:after="0" w:line="240" w:lineRule="auto"/>
        <w:ind w:left="0" w:right="0" w:firstLine="460"/>
        <w:jc w:val="both"/>
      </w:pPr>
      <w:bookmarkStart w:id="12" w:name="bookmark12"/>
      <w:r>
        <w:rPr>
          <w:color w:val="000000"/>
          <w:spacing w:val="0"/>
          <w:w w:val="100"/>
          <w:position w:val="0"/>
          <w:shd w:val="clear" w:color="auto" w:fill="auto"/>
          <w:lang w:val="ru-RU" w:eastAsia="ru-RU" w:bidi="ru-RU"/>
        </w:rPr>
        <w:t>В ходе рассмотрения доводов сторон, материалов дела и проведения внеплановой проверки, Комиссией Управления установлено следующее.</w:t>
      </w:r>
      <w:bookmarkEnd w:id="12"/>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частью 3 статьи 7 Закона о контрактной системе информация, предусмот</w:t>
        <w:softHyphen/>
        <w:t>ренная настоящим Федеральным законом и размещенная в единой информационной системе, должна быть полной и достоверной.</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части 12 статьи 48 Закона о контрактной системе проведение электронного аукци</w:t>
        <w:softHyphen/>
        <w:t>она при рассмотрении вторых частей заявок на участие в закупке соответствующая заявка подле</w:t>
        <w:softHyphen/>
        <w:t>жит отклонению в случаях:</w:t>
      </w:r>
    </w:p>
    <w:p>
      <w:pPr>
        <w:pStyle w:val="Style12"/>
        <w:keepNext w:val="0"/>
        <w:keepLines w:val="0"/>
        <w:widowControl w:val="0"/>
        <w:numPr>
          <w:ilvl w:val="0"/>
          <w:numId w:val="5"/>
        </w:numPr>
        <w:shd w:val="clear" w:color="auto" w:fill="auto"/>
        <w:tabs>
          <w:tab w:pos="706"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w:t>
        <w:softHyphen/>
        <w:t>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w:t>
        <w:softHyphen/>
        <w:t>мации и документов требованиям,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70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документов тре</w:t>
        <w:softHyphen/>
        <w:t>бованиям, установленным в извещении об осуществлении закупки;</w:t>
      </w:r>
    </w:p>
    <w:p>
      <w:pPr>
        <w:pStyle w:val="Style12"/>
        <w:keepNext w:val="0"/>
        <w:keepLines w:val="0"/>
        <w:widowControl w:val="0"/>
        <w:numPr>
          <w:ilvl w:val="0"/>
          <w:numId w:val="5"/>
        </w:numPr>
        <w:shd w:val="clear" w:color="auto" w:fill="auto"/>
        <w:tabs>
          <w:tab w:pos="70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w:t>
        <w:softHyphen/>
        <w:t>ствлении закупки в соответствии с частью 1 статьи 31 настоящего Федерального закона, требова</w:t>
        <w:softHyphen/>
        <w:t>ниям, установленным в извещении об осуществлении закупки в соответствии с частями 1.1,2 и 2.1 (при наличии таких требований) статьи 31 настоящего Федерального закона;</w:t>
      </w:r>
    </w:p>
    <w:p>
      <w:pPr>
        <w:pStyle w:val="Style12"/>
        <w:keepNext w:val="0"/>
        <w:keepLines w:val="0"/>
        <w:widowControl w:val="0"/>
        <w:numPr>
          <w:ilvl w:val="0"/>
          <w:numId w:val="5"/>
        </w:numPr>
        <w:shd w:val="clear" w:color="auto" w:fill="auto"/>
        <w:tabs>
          <w:tab w:pos="706"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w:t>
        <w:softHyphen/>
        <w:t>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2"/>
        <w:keepNext w:val="0"/>
        <w:keepLines w:val="0"/>
        <w:widowControl w:val="0"/>
        <w:numPr>
          <w:ilvl w:val="0"/>
          <w:numId w:val="5"/>
        </w:numPr>
        <w:shd w:val="clear" w:color="auto" w:fill="auto"/>
        <w:tabs>
          <w:tab w:pos="706"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w:t>
        <w:softHyphen/>
        <w:t>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2"/>
        <w:keepNext w:val="0"/>
        <w:keepLines w:val="0"/>
        <w:widowControl w:val="0"/>
        <w:numPr>
          <w:ilvl w:val="0"/>
          <w:numId w:val="5"/>
        </w:numPr>
        <w:shd w:val="clear" w:color="auto" w:fill="auto"/>
        <w:tabs>
          <w:tab w:pos="702"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М 127-ФЗ "О мерах воздействия (противодей</w:t>
        <w:softHyphen/>
        <w:t>ствия) на недружественные действия Соединенных Штатов Америки и иных иностранных госу</w:t>
        <w:softHyphen/>
        <w:t>дарств", в случае осуществления закупки работ, услуг, включенных в перечень, определенный Пра</w:t>
        <w:softHyphen/>
        <w:t>вительством Российской Федерации в соответствии с указанным пунктом;</w:t>
      </w:r>
    </w:p>
    <w:p>
      <w:pPr>
        <w:pStyle w:val="Style12"/>
        <w:keepNext w:val="0"/>
        <w:keepLines w:val="0"/>
        <w:widowControl w:val="0"/>
        <w:numPr>
          <w:ilvl w:val="0"/>
          <w:numId w:val="5"/>
        </w:numPr>
        <w:shd w:val="clear" w:color="auto" w:fill="auto"/>
        <w:tabs>
          <w:tab w:pos="1089"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2"/>
        <w:keepNext w:val="0"/>
        <w:keepLines w:val="0"/>
        <w:widowControl w:val="0"/>
        <w:numPr>
          <w:ilvl w:val="0"/>
          <w:numId w:val="5"/>
        </w:numPr>
        <w:shd w:val="clear" w:color="auto" w:fill="auto"/>
        <w:tabs>
          <w:tab w:pos="1089"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2"/>
        <w:keepNext w:val="0"/>
        <w:keepLines w:val="0"/>
        <w:widowControl w:val="0"/>
        <w:numPr>
          <w:ilvl w:val="0"/>
          <w:numId w:val="5"/>
        </w:numPr>
        <w:shd w:val="clear" w:color="auto" w:fill="auto"/>
        <w:tabs>
          <w:tab w:pos="1089" w:val="left"/>
        </w:tabs>
        <w:bidi w:val="0"/>
        <w:spacing w:before="0" w:after="0" w:line="240" w:lineRule="auto"/>
        <w:ind w:left="0" w:right="0" w:firstLine="46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w:t>
      </w:r>
    </w:p>
    <w:p>
      <w:pPr>
        <w:pStyle w:val="Style12"/>
        <w:keepNext w:val="0"/>
        <w:keepLines w:val="0"/>
        <w:widowControl w:val="0"/>
        <w:shd w:val="clear" w:color="auto" w:fill="auto"/>
        <w:bidi w:val="0"/>
        <w:spacing w:before="0" w:after="160" w:line="341" w:lineRule="auto"/>
        <w:ind w:left="0" w:right="0" w:firstLine="460"/>
        <w:jc w:val="both"/>
        <w:sectPr>
          <w:footerReference w:type="default" r:id="rId6"/>
          <w:footnotePr>
            <w:pos w:val="pageBottom"/>
            <w:numFmt w:val="decimal"/>
            <w:numRestart w:val="continuous"/>
          </w:footnotePr>
          <w:pgSz w:w="8400" w:h="11900"/>
          <w:pgMar w:top="1222" w:right="1338" w:bottom="1222" w:left="573" w:header="794" w:footer="794" w:gutter="0"/>
          <w:cols w:space="720"/>
          <w:noEndnote/>
          <w:rtlGutter w:val="0"/>
          <w:docGrid w:linePitch="360"/>
        </w:sectPr>
      </w:pPr>
      <w:r>
        <w:rPr>
          <w:color w:val="000000"/>
          <w:spacing w:val="0"/>
          <w:w w:val="100"/>
          <w:position w:val="0"/>
          <w:shd w:val="clear" w:color="auto" w:fill="auto"/>
          <w:lang w:val="ru-RU" w:eastAsia="ru-RU" w:bidi="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уча- 2023-3232</w:t>
      </w:r>
    </w:p>
    <w:p>
      <w:pPr>
        <w:pStyle w:val="Style12"/>
        <w:keepNext w:val="0"/>
        <w:keepLines w:val="0"/>
        <w:widowControl w:val="0"/>
        <w:shd w:val="clear" w:color="auto" w:fill="auto"/>
        <w:bidi w:val="0"/>
        <w:spacing w:before="120" w:after="0" w:line="240" w:lineRule="auto"/>
        <w:ind w:left="0" w:right="0" w:firstLine="0"/>
        <w:jc w:val="both"/>
      </w:pPr>
      <w:r>
        <w:rPr>
          <w:color w:val="000000"/>
          <w:spacing w:val="0"/>
          <w:w w:val="100"/>
          <w:position w:val="0"/>
          <w:shd w:val="clear" w:color="auto" w:fill="auto"/>
          <w:lang w:val="ru-RU" w:eastAsia="ru-RU" w:bidi="ru-RU"/>
        </w:rPr>
        <w:t>стие в закупке, но не позднее даты подведения итогов определения поставщика (подрядчика, ис</w:t>
        <w:softHyphen/>
        <w:t>полнителя), установленной в извещении об осуществлении закупки члены комиссии по осуще</w:t>
        <w:softHyphen/>
        <w:t>ствлению закупок рассматривают заявки на участие в закупке, информацию и документы, направ</w:t>
        <w:softHyphen/>
        <w:t>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w:t>
        <w:softHyphen/>
        <w:t>ренным пунктами 1-8 части 12 статьи 48 настоящего Федерального закона.</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соответствии с требованиями части 1 и 2 статьи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извещению о проведении запроса котировок №0387300117223000003 предметом закупки является - Поставка арочного металлодетекгора.</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В документации Заказчиком было установлено требование к участникам в соответствии с п. 1 ч. 1 статьи 31 Федерального закона № 44-ФЗ:</w:t>
      </w:r>
    </w:p>
    <w:p>
      <w:pPr>
        <w:pStyle w:val="Style12"/>
        <w:keepNext w:val="0"/>
        <w:keepLines w:val="0"/>
        <w:widowControl w:val="0"/>
        <w:numPr>
          <w:ilvl w:val="0"/>
          <w:numId w:val="7"/>
        </w:numPr>
        <w:shd w:val="clear" w:color="auto" w:fill="auto"/>
        <w:tabs>
          <w:tab w:pos="623"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Единые требования к участникам закупок в соответствии с ч. 1 ст. 31 Закона № 44-ФЗ</w:t>
      </w:r>
    </w:p>
    <w:p>
      <w:pPr>
        <w:pStyle w:val="Style12"/>
        <w:keepNext w:val="0"/>
        <w:keepLines w:val="0"/>
        <w:widowControl w:val="0"/>
        <w:numPr>
          <w:ilvl w:val="0"/>
          <w:numId w:val="7"/>
        </w:numPr>
        <w:shd w:val="clear" w:color="auto" w:fill="auto"/>
        <w:tabs>
          <w:tab w:pos="647" w:val="left"/>
        </w:tabs>
        <w:bidi w:val="0"/>
        <w:spacing w:before="0" w:after="0" w:line="240" w:lineRule="auto"/>
        <w:ind w:left="0" w:right="0" w:firstLine="440"/>
        <w:jc w:val="both"/>
      </w:pPr>
      <w:r>
        <w:rPr>
          <w:color w:val="000000"/>
          <w:spacing w:val="0"/>
          <w:w w:val="100"/>
          <w:position w:val="0"/>
          <w:shd w:val="clear" w:color="auto" w:fill="auto"/>
          <w:lang w:val="ru-RU" w:eastAsia="ru-RU" w:bidi="ru-RU"/>
        </w:rPr>
        <w:t>Требования к участникам закупок в соответствии с ч. 1.1 ст. 31 Закона № 44-ФЗ</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Ограничения: 1 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Ограничение допуска: Постановление Правительства РФ И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14 925 и признании утратившими силу некоторых актов Правительства Российской Федерации".</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Условие допуска: Участникам, заявки или окончательные предложения которых содержат предложения о поставке товаров в соответствии с приказом Минфина России № 126н от 04.06.2018.</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19.04.2023 №ИЗК1 было подано 6 заявок, а именно № 223, 84, 134, 103, 93, 169. Из которых 1 заявка участника была отклонена на основании п.5 ч.12 ст. 48 Закона 44-ФЗ (непредставления ин</w:t>
        <w:softHyphen/>
        <w:t>формации и документов, предусмотренных п.5 ч. 1 ст. 43 Закона 44-ФЗ (Нарушены требования: из</w:t>
        <w:softHyphen/>
        <w:t>вещения об осуществлении закупки; части 2 Требований к содержанию, составу заявки на участие в закупке и инструкция по ее заполнению; пункта 5 части 1 статьи 43 Закона о контрактной систе</w:t>
        <w:softHyphen/>
        <w:t>ме. А именно: в составе заявки участник не указал (не задекларировал) номера реестровых записей из реестра российской промышленной продукции или евразийского реестра промышленных това</w:t>
        <w:softHyphen/>
        <w:t>ров и совокупного количества баллов (при наличии).).</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Согласно подпункту "в" пункта 2 части 1 статьи 43 Закона о контрактной системе для уча</w:t>
        <w:softHyphen/>
        <w:t>стия в конкурентном способе заявка на участие в закупке, если иное не предусмотрено данным за</w:t>
        <w:softHyphen/>
        <w:t>коном, должна содержать предложение участника закупки в отношении объекта закупки, в том числе документы, подтверждающие соответствие товара, работы или услуги требованиям, уста</w:t>
        <w:softHyphen/>
        <w:t>новленным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При этом согласно части 5 статьи 43 Закона о контрактной системе подача заявки на уча</w:t>
        <w:softHyphen/>
        <w:t>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w:t>
        <w:softHyphen/>
        <w:t>нии закупки, в том числе подтверждение соответствия установленным в извещении об осуще</w:t>
        <w:softHyphen/>
        <w:t>ствлении закупки требованиям к участникам закупки.</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соответствии с пунктом 3 Постановление Правительства РФ от 10.07.2019 К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w:t>
        <w:softHyphen/>
        <w:t>пальных нужд, о внесении изменений в постановление Правительства Российской Федерации от 16 сентября 2016 г. П 925 и признании утратившими силу некоторых актов Правительства Россий</w:t>
        <w:softHyphen/>
        <w:t>ской Федерации" устанавливает, что для подтверждения соответствия радиоэлектронной продук</w:t>
        <w:softHyphen/>
        <w:t>ции условиям, предусмотренным подпунктами "а" - "в" пункта 3 настоящего постановления, участник закупки в составе заявки на участие в закупке представляет следующие документы и (или) информацию соответственно:</w:t>
      </w:r>
    </w:p>
    <w:p>
      <w:pPr>
        <w:pStyle w:val="Style12"/>
        <w:keepNext w:val="0"/>
        <w:keepLines w:val="0"/>
        <w:widowControl w:val="0"/>
        <w:numPr>
          <w:ilvl w:val="0"/>
          <w:numId w:val="9"/>
        </w:numPr>
        <w:shd w:val="clear" w:color="auto" w:fill="auto"/>
        <w:tabs>
          <w:tab w:pos="634"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номер реестровой записи из реестра, а также информация о совокупном количестве бал</w:t>
        <w:softHyphen/>
        <w:t>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И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w:t>
        <w:softHyphen/>
        <w:t>стве баллов за выполнение (освоение) соответствующих операций (условий);</w:t>
      </w:r>
    </w:p>
    <w:p>
      <w:pPr>
        <w:pStyle w:val="Style12"/>
        <w:keepNext w:val="0"/>
        <w:keepLines w:val="0"/>
        <w:widowControl w:val="0"/>
        <w:numPr>
          <w:ilvl w:val="0"/>
          <w:numId w:val="9"/>
        </w:numPr>
        <w:shd w:val="clear" w:color="auto" w:fill="auto"/>
        <w:tabs>
          <w:tab w:pos="634"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номер реестровой записи из евразийского реестра промышленных товаров, а также ин</w:t>
        <w:softHyphen/>
        <w:t>формация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w:t>
        <w:softHyphen/>
        <w:t>шением Совета Евразийской экономической комиссии от 23 ноября 2020 г. И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w:t>
        <w:softHyphen/>
        <w:t>купном количестве баллов за выполнение (освоение) соответствующих операций (условий);</w:t>
      </w:r>
    </w:p>
    <w:p>
      <w:pPr>
        <w:pStyle w:val="Style12"/>
        <w:keepNext w:val="0"/>
        <w:keepLines w:val="0"/>
        <w:widowControl w:val="0"/>
        <w:numPr>
          <w:ilvl w:val="0"/>
          <w:numId w:val="9"/>
        </w:numPr>
        <w:shd w:val="clear" w:color="auto" w:fill="auto"/>
        <w:tabs>
          <w:tab w:pos="1089"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копия сертификата по форме СТ-1.</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В случае предоставления участником закупки в составе заявки на участие в закупке в соот</w:t>
        <w:softHyphen/>
        <w:t>ветствии с абзацами вторым и третьим настоящего пункта информации из реестра или евразийско</w:t>
        <w:softHyphen/>
        <w:t>го реестра промышленных товаров без указания информации о совокупном количестве баллов в отношении продукции, для которой установлены требования о совокупном количестве баллов за выполнение (освоение) соответствующих операций (условий), или с указанием совокупного коли</w:t>
        <w:softHyphen/>
        <w:t>чества баллов, не соответствующего требованиям, установленным для целей закупок постановле</w:t>
        <w:softHyphen/>
        <w:t>нием Правительства Российской Федерации от 17 июля 2015 г. № 719 "О подтверждении произ</w:t>
        <w:softHyphen/>
        <w:t>водства промышленной продукции на территории Российской Федерации" или решением Совета Евразийской экономической комиссии от 23 ноября 2020 г. № 105 "Об утверждении Правил опре</w:t>
        <w:softHyphen/>
        <w:t>деления страны происхождения отдельных видов товаров для целей государственных (муници</w:t>
        <w:softHyphen/>
        <w:t>пальных) закупок" соответственно, такая заявка приравнивается к заявке, в которой содержится предложение о поставке продукции, происходящей из иностранных государств».</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Комиссия Управления изучив заявку ИП Ступникова П.Д. под номером 243, установило следующее.</w:t>
      </w:r>
    </w:p>
    <w:p>
      <w:pPr>
        <w:pStyle w:val="Style12"/>
        <w:keepNext w:val="0"/>
        <w:keepLines w:val="0"/>
        <w:widowControl w:val="0"/>
        <w:numPr>
          <w:ilvl w:val="0"/>
          <w:numId w:val="11"/>
        </w:numPr>
        <w:shd w:val="clear" w:color="auto" w:fill="auto"/>
        <w:tabs>
          <w:tab w:pos="648"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.Выписка из реестра продукции российского происхождения: №160\1\2022,24.04.2025</w:t>
      </w:r>
    </w:p>
    <w:p>
      <w:pPr>
        <w:pStyle w:val="Style12"/>
        <w:keepNext w:val="0"/>
        <w:keepLines w:val="0"/>
        <w:widowControl w:val="0"/>
        <w:numPr>
          <w:ilvl w:val="0"/>
          <w:numId w:val="11"/>
        </w:numPr>
        <w:shd w:val="clear" w:color="auto" w:fill="auto"/>
        <w:tabs>
          <w:tab w:pos="697"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Выписка, подтверждающая нахождение в реестре радио/телекоммуникационного обору</w:t>
        <w:softHyphen/>
        <w:t>дование российского происхождения: РЭ-7503/22,24.04.2025</w:t>
      </w:r>
    </w:p>
    <w:p>
      <w:pPr>
        <w:pStyle w:val="Style12"/>
        <w:keepNext w:val="0"/>
        <w:keepLines w:val="0"/>
        <w:widowControl w:val="0"/>
        <w:numPr>
          <w:ilvl w:val="0"/>
          <w:numId w:val="11"/>
        </w:numPr>
        <w:shd w:val="clear" w:color="auto" w:fill="auto"/>
        <w:tabs>
          <w:tab w:pos="701" w:val="left"/>
        </w:tabs>
        <w:bidi w:val="0"/>
        <w:spacing w:before="0" w:after="0" w:line="240" w:lineRule="auto"/>
        <w:ind w:left="0" w:right="0" w:firstLine="460"/>
        <w:jc w:val="both"/>
      </w:pPr>
      <w:r>
        <w:rPr>
          <w:color w:val="000000"/>
          <w:spacing w:val="0"/>
          <w:w w:val="100"/>
          <w:position w:val="0"/>
          <w:shd w:val="clear" w:color="auto" w:fill="auto"/>
          <w:lang w:val="ru-RU" w:eastAsia="ru-RU" w:bidi="ru-RU"/>
        </w:rPr>
        <w:t>Сертификат соответствия.</w:t>
      </w:r>
    </w:p>
    <w:p>
      <w:pPr>
        <w:pStyle w:val="Style12"/>
        <w:keepNext w:val="0"/>
        <w:keepLines w:val="0"/>
        <w:widowControl w:val="0"/>
        <w:numPr>
          <w:ilvl w:val="0"/>
          <w:numId w:val="11"/>
        </w:numPr>
        <w:shd w:val="clear" w:color="auto" w:fill="auto"/>
        <w:tabs>
          <w:tab w:pos="692" w:val="left"/>
        </w:tabs>
        <w:bidi w:val="0"/>
        <w:spacing w:before="0" w:after="0" w:line="240" w:lineRule="auto"/>
        <w:ind w:left="0" w:right="0" w:firstLine="480"/>
        <w:jc w:val="both"/>
      </w:pPr>
      <w:r>
        <w:rPr>
          <w:color w:val="000000"/>
          <w:spacing w:val="0"/>
          <w:w w:val="100"/>
          <w:position w:val="0"/>
          <w:shd w:val="clear" w:color="auto" w:fill="auto"/>
          <w:lang w:val="ru-RU" w:eastAsia="ru-RU" w:bidi="ru-RU"/>
        </w:rPr>
        <w:t>В заявке также были отражены все необходимые реестровые номера и страна происхо</w:t>
        <w:softHyphen/>
        <w:t>ждения товара. Что полностью соответствует требованиям Постановление Правительства №878.</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Комиссия Управления отмечает, что в Постановлении Правительства РФ от 10.07.2019 К 878 "О мерах стимулирования производства радиоэлектронной продукции на территории Россий</w:t>
        <w:softHyphen/>
        <w:t>ской Федерации при осуществлении закупок товаров, работ; услуг для обеспечения государствен</w:t>
        <w:softHyphen/>
        <w:t>ных и муниципальных нужд, о внесении изменений в постановление Правительства Российской Федерации от 16 сентября 2016 г. К 925 и признании утратившими силу некоторых актов Прави</w:t>
        <w:softHyphen/>
        <w:t>тельства Российской Федерации" не установлена обязанность заказчика по включению в проект контракта (контракт) информации о реестровых записях в отношении закупаемого товара.</w:t>
      </w:r>
    </w:p>
    <w:p>
      <w:pPr>
        <w:pStyle w:val="Style12"/>
        <w:keepNext w:val="0"/>
        <w:keepLines w:val="0"/>
        <w:widowControl w:val="0"/>
        <w:shd w:val="clear" w:color="auto" w:fill="auto"/>
        <w:bidi w:val="0"/>
        <w:spacing w:before="0" w:after="0" w:line="240" w:lineRule="auto"/>
        <w:ind w:left="0" w:right="0" w:firstLine="480"/>
        <w:jc w:val="both"/>
      </w:pPr>
      <w:r>
        <w:rPr>
          <w:color w:val="000000"/>
          <w:spacing w:val="0"/>
          <w:w w:val="100"/>
          <w:position w:val="0"/>
          <w:shd w:val="clear" w:color="auto" w:fill="auto"/>
          <w:lang w:val="ru-RU" w:eastAsia="ru-RU" w:bidi="ru-RU"/>
        </w:rPr>
        <w:t xml:space="preserve">Таким образом, законодательством Российской Федерации и иных нормативных правовых актов о контрактной системе в сфере закупок товаров, работ; услуг для обеспечения госуцарствен- </w:t>
      </w:r>
      <w:r>
        <w:rPr>
          <w:color w:val="000000"/>
          <w:spacing w:val="0"/>
          <w:w w:val="100"/>
          <w:position w:val="0"/>
          <w:shd w:val="clear" w:color="auto" w:fill="auto"/>
          <w:lang w:val="ru-RU" w:eastAsia="ru-RU" w:bidi="ru-RU"/>
        </w:rPr>
        <w:t xml:space="preserve">ных </w:t>
      </w:r>
      <w:r>
        <w:rPr>
          <w:i/>
          <w:iCs/>
          <w:color w:val="000000"/>
          <w:spacing w:val="0"/>
          <w:w w:val="100"/>
          <w:position w:val="0"/>
          <w:shd w:val="clear" w:color="auto" w:fill="auto"/>
          <w:lang w:val="ru-RU" w:eastAsia="ru-RU" w:bidi="ru-RU"/>
        </w:rPr>
        <w:t>и</w:t>
      </w:r>
      <w:r>
        <w:rPr>
          <w:color w:val="000000"/>
          <w:spacing w:val="0"/>
          <w:w w:val="100"/>
          <w:position w:val="0"/>
          <w:shd w:val="clear" w:color="auto" w:fill="auto"/>
          <w:lang w:val="ru-RU" w:eastAsia="ru-RU" w:bidi="ru-RU"/>
        </w:rPr>
        <w:t xml:space="preserve"> муниципальных нужд не предусмотрена обязанность заказчика по включению в проект контракта, направляемый поставщику при заключении контракта, информации о номере реестро</w:t>
        <w:softHyphen/>
        <w:t>вой записи из Реестра российской радиоэлектронной продукции.</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Кроме того, Заявитель в жалобе полагает, что под наименованием, указанным в проекте до</w:t>
        <w:softHyphen/>
        <w:t>говора и предлагаемым Победителем к поставке товар, присутствует арочный стационарный ме- таллодетектор, что в свою очередь, противоречит требованию к такой характеристике, как Мобиль</w:t>
        <w:softHyphen/>
        <w:t>ный сборно-разборный.</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Комиссия Управления ввиду вышеуказанного отмечает, что в соответствии с п. 4.1.3 ГОСТ Р 53705-2009 «Системы безопасности комплексные. Металлообнаружители стационарные для по</w:t>
        <w:softHyphen/>
        <w:t>мещений. Общие технические требования. Методы испытаний», по конструктивному исполнению металлообнаружители подразделяют на:</w:t>
      </w:r>
    </w:p>
    <w:p>
      <w:pPr>
        <w:pStyle w:val="Style12"/>
        <w:keepNext w:val="0"/>
        <w:keepLines w:val="0"/>
        <w:widowControl w:val="0"/>
        <w:numPr>
          <w:ilvl w:val="0"/>
          <w:numId w:val="13"/>
        </w:numPr>
        <w:shd w:val="clear" w:color="auto" w:fill="auto"/>
        <w:tabs>
          <w:tab w:pos="643" w:val="left"/>
        </w:tabs>
        <w:bidi w:val="0"/>
        <w:spacing w:before="0" w:after="0" w:line="276" w:lineRule="auto"/>
        <w:ind w:left="0" w:right="0" w:firstLine="460"/>
        <w:jc w:val="both"/>
      </w:pPr>
      <w:r>
        <w:rPr>
          <w:color w:val="000000"/>
          <w:spacing w:val="0"/>
          <w:w w:val="100"/>
          <w:position w:val="0"/>
          <w:shd w:val="clear" w:color="auto" w:fill="auto"/>
          <w:lang w:val="ru-RU" w:eastAsia="ru-RU" w:bidi="ru-RU"/>
        </w:rPr>
        <w:t>арочные;</w:t>
      </w:r>
    </w:p>
    <w:p>
      <w:pPr>
        <w:pStyle w:val="Style12"/>
        <w:keepNext w:val="0"/>
        <w:keepLines w:val="0"/>
        <w:widowControl w:val="0"/>
        <w:numPr>
          <w:ilvl w:val="0"/>
          <w:numId w:val="13"/>
        </w:numPr>
        <w:shd w:val="clear" w:color="auto" w:fill="auto"/>
        <w:tabs>
          <w:tab w:pos="630" w:val="left"/>
        </w:tabs>
        <w:bidi w:val="0"/>
        <w:spacing w:before="0" w:after="0" w:line="276" w:lineRule="auto"/>
        <w:ind w:left="0" w:right="0" w:firstLine="460"/>
        <w:jc w:val="both"/>
      </w:pPr>
      <w:r>
        <w:rPr>
          <w:color w:val="000000"/>
          <w:spacing w:val="0"/>
          <w:w w:val="100"/>
          <w:position w:val="0"/>
          <w:shd w:val="clear" w:color="auto" w:fill="auto"/>
          <w:lang w:val="ru-RU" w:eastAsia="ru-RU" w:bidi="ru-RU"/>
        </w:rPr>
        <w:t>стоечные (с механически не связанными панелями обнаружения, выполненным в виде вертикальных стоек или колонн);</w:t>
      </w:r>
    </w:p>
    <w:p>
      <w:pPr>
        <w:pStyle w:val="Style12"/>
        <w:keepNext w:val="0"/>
        <w:keepLines w:val="0"/>
        <w:widowControl w:val="0"/>
        <w:numPr>
          <w:ilvl w:val="0"/>
          <w:numId w:val="13"/>
        </w:numPr>
        <w:shd w:val="clear" w:color="auto" w:fill="auto"/>
        <w:tabs>
          <w:tab w:pos="643" w:val="left"/>
        </w:tabs>
        <w:bidi w:val="0"/>
        <w:spacing w:before="0" w:after="0" w:line="276" w:lineRule="auto"/>
        <w:ind w:left="0" w:right="0" w:firstLine="460"/>
        <w:jc w:val="both"/>
      </w:pPr>
      <w:r>
        <w:rPr>
          <w:color w:val="000000"/>
          <w:spacing w:val="0"/>
          <w:w w:val="100"/>
          <w:position w:val="0"/>
          <w:shd w:val="clear" w:color="auto" w:fill="auto"/>
          <w:lang w:val="ru-RU" w:eastAsia="ru-RU" w:bidi="ru-RU"/>
        </w:rPr>
        <w:t>имеющие один проход через контрольную зону;</w:t>
      </w:r>
    </w:p>
    <w:p>
      <w:pPr>
        <w:pStyle w:val="Style12"/>
        <w:keepNext w:val="0"/>
        <w:keepLines w:val="0"/>
        <w:widowControl w:val="0"/>
        <w:numPr>
          <w:ilvl w:val="0"/>
          <w:numId w:val="13"/>
        </w:numPr>
        <w:shd w:val="clear" w:color="auto" w:fill="auto"/>
        <w:tabs>
          <w:tab w:pos="643" w:val="left"/>
        </w:tabs>
        <w:bidi w:val="0"/>
        <w:spacing w:before="0" w:after="0" w:line="240" w:lineRule="auto"/>
        <w:ind w:left="0" w:right="0" w:firstLine="460"/>
        <w:jc w:val="both"/>
      </w:pPr>
      <w:r>
        <w:rPr>
          <w:color w:val="000000"/>
          <w:spacing w:val="0"/>
          <w:w w:val="100"/>
          <w:position w:val="0"/>
          <w:shd w:val="clear" w:color="auto" w:fill="auto"/>
          <w:lang w:val="ru-RU" w:eastAsia="ru-RU" w:bidi="ru-RU"/>
        </w:rPr>
        <w:t>имеющие два прохода и более через контрольную зону.</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Исходя из вышеуказанной нормативной базы следует, что мобилыше/разборные/складные металлодетекгоры являются металлодетекгорами арочного типа, так как в собранном виде образуют арку магнитной индукции.</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Следовательно, не подлежат отдельному включению реестр радио/телекоммуникационного оборудования РФ и подтверждаются документами приложенными в рамках заявки ИП Ступникова П.Д.</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Арочный металлодетекгор, эти устройства являются стационарными (готовыми или сборными) и отличаются высокой эффективностью обнаружения металлических предметов, проносимых сквозь них. По названию можно догадаться, что выполнены они в виде арки. Такая конструкция предусмотрена для того, чтобы человек смог легко пройти сквозь нее.</w:t>
      </w:r>
    </w:p>
    <w:p>
      <w:pPr>
        <w:pStyle w:val="Style12"/>
        <w:keepNext w:val="0"/>
        <w:keepLines w:val="0"/>
        <w:widowControl w:val="0"/>
        <w:shd w:val="clear" w:color="auto" w:fill="auto"/>
        <w:bidi w:val="0"/>
        <w:spacing w:before="0" w:after="140" w:line="240" w:lineRule="auto"/>
        <w:ind w:left="0" w:right="0" w:firstLine="460"/>
        <w:jc w:val="both"/>
      </w:pPr>
      <w:r>
        <w:rPr>
          <w:color w:val="000000"/>
          <w:spacing w:val="0"/>
          <w:w w:val="100"/>
          <w:position w:val="0"/>
          <w:shd w:val="clear" w:color="auto" w:fill="auto"/>
          <w:lang w:val="ru-RU" w:eastAsia="ru-RU" w:bidi="ru-RU"/>
        </w:rPr>
        <w:t>В технических характеристиках, указанных в заявке на участие в аукционе, предлагаемый Побед ителем к поставке товар обладает следующими признаками:</w:t>
      </w:r>
    </w:p>
    <w:tbl>
      <w:tblPr>
        <w:tblOverlap w:val="never"/>
        <w:jc w:val="center"/>
        <w:tblLayout w:type="fixed"/>
      </w:tblPr>
      <w:tblGrid>
        <w:gridCol w:w="2309"/>
        <w:gridCol w:w="1819"/>
        <w:gridCol w:w="1834"/>
      </w:tblGrid>
      <w:tr>
        <w:trPr>
          <w:trHeight w:val="322"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Наименование</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440"/>
              <w:jc w:val="left"/>
              <w:rPr>
                <w:sz w:val="12"/>
                <w:szCs w:val="12"/>
              </w:rPr>
            </w:pPr>
            <w:r>
              <w:rPr>
                <w:color w:val="000000"/>
                <w:spacing w:val="0"/>
                <w:w w:val="100"/>
                <w:position w:val="0"/>
                <w:sz w:val="12"/>
                <w:szCs w:val="12"/>
                <w:shd w:val="clear" w:color="auto" w:fill="auto"/>
                <w:lang w:val="ru-RU" w:eastAsia="ru-RU" w:bidi="ru-RU"/>
              </w:rPr>
              <w:t>Характеристики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Значение</w:t>
            </w:r>
          </w:p>
        </w:tc>
      </w:tr>
      <w:tr>
        <w:trPr>
          <w:trHeight w:val="173"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Арочный складной металлодетекгор</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ru-RU" w:eastAsia="ru-RU" w:bidi="ru-RU"/>
              </w:rPr>
              <w:t>Мобильный сборно-разборный</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Соответствие</w:t>
            </w:r>
          </w:p>
        </w:tc>
      </w:tr>
      <w:tr>
        <w:trPr>
          <w:trHeight w:val="341"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ДИЕМА 5000РК- 2 пгг.</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Конструкция</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93" w:lineRule="auto"/>
              <w:ind w:left="0" w:right="0" w:firstLine="0"/>
              <w:jc w:val="center"/>
              <w:rPr>
                <w:sz w:val="12"/>
                <w:szCs w:val="12"/>
              </w:rPr>
            </w:pPr>
            <w:r>
              <w:rPr>
                <w:color w:val="000000"/>
                <w:spacing w:val="0"/>
                <w:w w:val="100"/>
                <w:position w:val="0"/>
                <w:sz w:val="12"/>
                <w:szCs w:val="12"/>
                <w:shd w:val="clear" w:color="auto" w:fill="auto"/>
                <w:lang w:val="ru-RU" w:eastAsia="ru-RU" w:bidi="ru-RU"/>
              </w:rPr>
              <w:t>Сборка без применения инструментов</w:t>
            </w:r>
          </w:p>
        </w:tc>
      </w:tr>
      <w:tr>
        <w:trPr>
          <w:trHeight w:val="158"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40"/>
              <w:jc w:val="left"/>
              <w:rPr>
                <w:sz w:val="12"/>
                <w:szCs w:val="12"/>
              </w:rPr>
            </w:pPr>
            <w:r>
              <w:rPr>
                <w:color w:val="000000"/>
                <w:spacing w:val="0"/>
                <w:w w:val="100"/>
                <w:position w:val="0"/>
                <w:sz w:val="12"/>
                <w:szCs w:val="12"/>
                <w:shd w:val="clear" w:color="auto" w:fill="auto"/>
                <w:lang w:val="ru-RU" w:eastAsia="ru-RU" w:bidi="ru-RU"/>
              </w:rPr>
              <w:t>Счетчик проходов</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Да</w:t>
            </w:r>
          </w:p>
        </w:tc>
      </w:tr>
      <w:tr>
        <w:trPr>
          <w:trHeight w:val="341"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300" w:lineRule="auto"/>
              <w:ind w:left="0" w:right="0" w:firstLine="0"/>
              <w:jc w:val="center"/>
              <w:rPr>
                <w:sz w:val="12"/>
                <w:szCs w:val="12"/>
              </w:rPr>
            </w:pPr>
            <w:r>
              <w:rPr>
                <w:color w:val="000000"/>
                <w:spacing w:val="0"/>
                <w:w w:val="100"/>
                <w:position w:val="0"/>
                <w:sz w:val="12"/>
                <w:szCs w:val="12"/>
                <w:shd w:val="clear" w:color="auto" w:fill="auto"/>
                <w:lang w:val="ru-RU" w:eastAsia="ru-RU" w:bidi="ru-RU"/>
              </w:rPr>
              <w:t>Страна происхождения - Российская Федерация</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66" w:lineRule="auto"/>
              <w:ind w:left="0" w:right="0" w:firstLine="0"/>
              <w:jc w:val="center"/>
              <w:rPr>
                <w:sz w:val="12"/>
                <w:szCs w:val="12"/>
              </w:rPr>
            </w:pPr>
            <w:r>
              <w:rPr>
                <w:color w:val="000000"/>
                <w:spacing w:val="0"/>
                <w:w w:val="100"/>
                <w:position w:val="0"/>
                <w:sz w:val="12"/>
                <w:szCs w:val="12"/>
                <w:shd w:val="clear" w:color="auto" w:fill="auto"/>
                <w:lang w:val="ru-RU" w:eastAsia="ru-RU" w:bidi="ru-RU"/>
              </w:rPr>
              <w:t>Световой и звуковой сигнал тревоги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Да</w:t>
            </w:r>
          </w:p>
        </w:tc>
      </w:tr>
      <w:tr>
        <w:trPr>
          <w:trHeight w:val="1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ru-RU" w:eastAsia="ru-RU" w:bidi="ru-RU"/>
              </w:rPr>
              <w:t>Влагозащищенное исполнение</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П&gt;55</w:t>
            </w:r>
          </w:p>
        </w:tc>
      </w:tr>
      <w:tr>
        <w:trPr>
          <w:trHeight w:val="331" w:hRule="exact"/>
        </w:trPr>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Реестровые записи:</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66" w:lineRule="auto"/>
              <w:ind w:left="0" w:right="0" w:firstLine="0"/>
              <w:jc w:val="center"/>
              <w:rPr>
                <w:sz w:val="12"/>
                <w:szCs w:val="12"/>
              </w:rPr>
            </w:pPr>
            <w:r>
              <w:rPr>
                <w:color w:val="000000"/>
                <w:spacing w:val="0"/>
                <w:w w:val="100"/>
                <w:position w:val="0"/>
                <w:sz w:val="12"/>
                <w:szCs w:val="12"/>
                <w:shd w:val="clear" w:color="auto" w:fill="auto"/>
                <w:lang w:val="ru-RU" w:eastAsia="ru-RU" w:bidi="ru-RU"/>
              </w:rPr>
              <w:t>Автономная работа от аккумуляторов</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15 часов</w:t>
            </w:r>
          </w:p>
        </w:tc>
      </w:tr>
      <w:tr>
        <w:trPr>
          <w:trHeight w:val="350"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300" w:lineRule="auto"/>
              <w:ind w:left="0" w:right="0" w:firstLine="0"/>
              <w:jc w:val="center"/>
              <w:rPr>
                <w:sz w:val="12"/>
                <w:szCs w:val="12"/>
              </w:rPr>
            </w:pPr>
            <w:r>
              <w:rPr>
                <w:color w:val="000000"/>
                <w:spacing w:val="0"/>
                <w:w w:val="100"/>
                <w:position w:val="0"/>
                <w:sz w:val="12"/>
                <w:szCs w:val="12"/>
                <w:shd w:val="clear" w:color="auto" w:fill="auto"/>
                <w:lang w:val="ru-RU" w:eastAsia="ru-RU" w:bidi="ru-RU"/>
              </w:rPr>
              <w:t>1)Продукция российского происхождения:</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ru-RU" w:eastAsia="ru-RU" w:bidi="ru-RU"/>
              </w:rPr>
              <w:t>Диапазон рабочих температур</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-20С до +50С</w:t>
            </w:r>
          </w:p>
        </w:tc>
      </w:tr>
      <w:tr>
        <w:trPr>
          <w:trHeight w:val="154"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160\1\2022,</w:t>
            </w: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ru-RU" w:eastAsia="ru-RU" w:bidi="ru-RU"/>
              </w:rPr>
              <w:t>Степень локализации объекта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Точная</w:t>
            </w:r>
          </w:p>
        </w:tc>
      </w:tr>
      <w:tr>
        <w:trPr>
          <w:trHeight w:val="667" w:hRule="exact"/>
        </w:trPr>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90" w:lineRule="auto"/>
              <w:ind w:left="0" w:right="0" w:firstLine="0"/>
              <w:jc w:val="center"/>
              <w:rPr>
                <w:sz w:val="12"/>
                <w:szCs w:val="12"/>
              </w:rPr>
            </w:pPr>
            <w:r>
              <w:rPr>
                <w:color w:val="000000"/>
                <w:spacing w:val="0"/>
                <w:w w:val="100"/>
                <w:position w:val="0"/>
                <w:sz w:val="12"/>
                <w:szCs w:val="12"/>
                <w:shd w:val="clear" w:color="auto" w:fill="auto"/>
                <w:lang w:val="ru-RU" w:eastAsia="ru-RU" w:bidi="ru-RU"/>
              </w:rPr>
              <w:t>2)Радио/телекоммуникац ионное оборудование российского происхождения: РЭ- 7503/22, согласно 878ПП</w:t>
            </w:r>
          </w:p>
        </w:tc>
        <w:tc>
          <w:tcPr>
            <w:tcBorders>
              <w:top w:val="single" w:sz="4"/>
              <w:left w:val="single" w:sz="4"/>
            </w:tcBorders>
            <w:shd w:val="clear" w:color="auto" w:fill="auto"/>
            <w:vAlign w:val="top"/>
          </w:tcPr>
          <w:p>
            <w:pPr>
              <w:pStyle w:val="Style19"/>
              <w:keepNext w:val="0"/>
              <w:keepLines w:val="0"/>
              <w:widowControl w:val="0"/>
              <w:shd w:val="clear" w:color="auto" w:fill="auto"/>
              <w:bidi w:val="0"/>
              <w:spacing w:before="0" w:after="0" w:line="293" w:lineRule="auto"/>
              <w:ind w:left="0" w:right="0" w:firstLine="0"/>
              <w:jc w:val="center"/>
              <w:rPr>
                <w:sz w:val="12"/>
                <w:szCs w:val="12"/>
              </w:rPr>
            </w:pPr>
            <w:r>
              <w:rPr>
                <w:color w:val="000000"/>
                <w:spacing w:val="0"/>
                <w:w w:val="100"/>
                <w:position w:val="0"/>
                <w:sz w:val="12"/>
                <w:szCs w:val="12"/>
                <w:shd w:val="clear" w:color="auto" w:fill="auto"/>
                <w:lang w:val="ru-RU" w:eastAsia="ru-RU" w:bidi="ru-RU"/>
              </w:rPr>
              <w:t>Совместная установка металлодетекторов на расстоянии</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100см</w:t>
            </w:r>
          </w:p>
        </w:tc>
      </w:tr>
      <w:tr>
        <w:trPr>
          <w:trHeight w:val="15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440"/>
              <w:jc w:val="left"/>
              <w:rPr>
                <w:sz w:val="12"/>
                <w:szCs w:val="12"/>
              </w:rPr>
            </w:pPr>
            <w:r>
              <w:rPr>
                <w:color w:val="000000"/>
                <w:spacing w:val="0"/>
                <w:w w:val="100"/>
                <w:position w:val="0"/>
                <w:sz w:val="12"/>
                <w:szCs w:val="12"/>
                <w:shd w:val="clear" w:color="auto" w:fill="auto"/>
                <w:lang w:val="ru-RU" w:eastAsia="ru-RU" w:bidi="ru-RU"/>
              </w:rPr>
              <w:t>Габариты прохода</w:t>
            </w:r>
          </w:p>
        </w:tc>
        <w:tc>
          <w:tcPr>
            <w:tcBorders>
              <w:top w:val="single" w:sz="4"/>
              <w:left w:val="single" w:sz="4"/>
              <w:right w:val="single" w:sz="4"/>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2000х800х</w:t>
            </w:r>
          </w:p>
        </w:tc>
      </w:tr>
      <w:tr>
        <w:trPr>
          <w:trHeight w:val="3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9"/>
              <w:keepNext w:val="0"/>
              <w:keepLines w:val="0"/>
              <w:widowControl w:val="0"/>
              <w:shd w:val="clear" w:color="auto" w:fill="auto"/>
              <w:bidi w:val="0"/>
              <w:spacing w:before="0" w:after="0" w:line="293" w:lineRule="auto"/>
              <w:ind w:left="0" w:right="0" w:firstLine="0"/>
              <w:jc w:val="center"/>
              <w:rPr>
                <w:sz w:val="12"/>
                <w:szCs w:val="12"/>
              </w:rPr>
            </w:pPr>
            <w:r>
              <w:rPr>
                <w:color w:val="000000"/>
                <w:spacing w:val="0"/>
                <w:w w:val="100"/>
                <w:position w:val="0"/>
                <w:sz w:val="12"/>
                <w:szCs w:val="12"/>
                <w:shd w:val="clear" w:color="auto" w:fill="auto"/>
                <w:lang w:val="ru-RU" w:eastAsia="ru-RU" w:bidi="ru-RU"/>
              </w:rPr>
              <w:t>Количество независимых зон действия</w:t>
            </w:r>
          </w:p>
        </w:tc>
        <w:tc>
          <w:tcPr>
            <w:tcBorders>
              <w:top w:val="single" w:sz="4"/>
              <w:left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pPr>
            <w:r>
              <w:rPr>
                <w:i/>
                <w:iCs/>
                <w:color w:val="000000"/>
                <w:spacing w:val="0"/>
                <w:w w:val="100"/>
                <w:position w:val="0"/>
                <w:shd w:val="clear" w:color="auto" w:fill="auto"/>
                <w:lang w:val="ru-RU" w:eastAsia="ru-RU" w:bidi="ru-RU"/>
              </w:rPr>
              <w:t>6</w:t>
            </w:r>
          </w:p>
        </w:tc>
      </w:tr>
      <w:tr>
        <w:trPr>
          <w:trHeight w:val="350"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bottom"/>
          </w:tcPr>
          <w:p>
            <w:pPr>
              <w:pStyle w:val="Style19"/>
              <w:keepNext w:val="0"/>
              <w:keepLines w:val="0"/>
              <w:widowControl w:val="0"/>
              <w:shd w:val="clear" w:color="auto" w:fill="auto"/>
              <w:bidi w:val="0"/>
              <w:spacing w:before="0" w:after="0" w:line="293" w:lineRule="auto"/>
              <w:ind w:left="0" w:right="0" w:firstLine="0"/>
              <w:jc w:val="center"/>
              <w:rPr>
                <w:sz w:val="12"/>
                <w:szCs w:val="12"/>
              </w:rPr>
            </w:pPr>
            <w:r>
              <w:rPr>
                <w:color w:val="000000"/>
                <w:spacing w:val="0"/>
                <w:w w:val="100"/>
                <w:position w:val="0"/>
                <w:sz w:val="12"/>
                <w:szCs w:val="12"/>
                <w:shd w:val="clear" w:color="auto" w:fill="auto"/>
                <w:lang w:val="ru-RU" w:eastAsia="ru-RU" w:bidi="ru-RU"/>
              </w:rPr>
              <w:t>Количество уровней регулировки чувствительности</w:t>
            </w:r>
          </w:p>
        </w:tc>
        <w:tc>
          <w:tcPr>
            <w:tcBorders>
              <w:top w:val="single" w:sz="4"/>
              <w:left w:val="single" w:sz="4"/>
              <w:bottom w:val="single" w:sz="4"/>
              <w:right w:val="single" w:sz="4"/>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center"/>
              <w:rPr>
                <w:sz w:val="12"/>
                <w:szCs w:val="12"/>
              </w:rPr>
            </w:pPr>
            <w:r>
              <w:rPr>
                <w:color w:val="000000"/>
                <w:spacing w:val="0"/>
                <w:w w:val="100"/>
                <w:position w:val="0"/>
                <w:sz w:val="12"/>
                <w:szCs w:val="12"/>
                <w:shd w:val="clear" w:color="auto" w:fill="auto"/>
                <w:lang w:val="ru-RU" w:eastAsia="ru-RU" w:bidi="ru-RU"/>
              </w:rPr>
              <w:t>300</w:t>
            </w:r>
          </w:p>
        </w:tc>
      </w:tr>
    </w:tbl>
    <w:p>
      <w:pPr>
        <w:spacing w:lineRule="exact" w:line="1"/>
        <w:rPr>
          <w:sz w:val="2"/>
          <w:szCs w:val="2"/>
        </w:rPr>
      </w:pPr>
      <w:r>
        <w:br w:type="page"/>
      </w:r>
    </w:p>
    <w:p>
      <w:pPr>
        <w:pStyle w:val="Style2"/>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leader="underscore" w:pos="446" w:val="left"/>
          <w:tab w:leader="underscore" w:pos="1411" w:val="left"/>
        </w:tabs>
        <w:bidi w:val="0"/>
        <w:spacing w:before="0" w:after="160" w:line="271" w:lineRule="auto"/>
        <w:ind w:left="0" w:right="0" w:firstLine="0"/>
        <w:jc w:val="center"/>
      </w:pPr>
      <w:r>
        <w:rPr>
          <w:color w:val="000000"/>
          <w:spacing w:val="0"/>
          <w:w w:val="100"/>
          <w:position w:val="0"/>
          <w:shd w:val="clear" w:color="auto" w:fill="auto"/>
          <w:lang w:val="ru-RU" w:eastAsia="ru-RU" w:bidi="ru-RU"/>
        </w:rPr>
        <w:t>Пылевлагозащищенное</w:t>
        <w:br/>
        <w:tab/>
      </w:r>
      <w:r>
        <w:rPr>
          <w:color w:val="000000"/>
          <w:spacing w:val="0"/>
          <w:w w:val="100"/>
          <w:position w:val="0"/>
          <w:u w:val="single"/>
          <w:shd w:val="clear" w:color="auto" w:fill="auto"/>
          <w:lang w:val="ru-RU" w:eastAsia="ru-RU" w:bidi="ru-RU"/>
        </w:rPr>
        <w:t>покрытие</w:t>
      </w:r>
      <w:r>
        <w:rPr>
          <w:color w:val="000000"/>
          <w:spacing w:val="0"/>
          <w:w w:val="100"/>
          <w:position w:val="0"/>
          <w:shd w:val="clear" w:color="auto" w:fill="auto"/>
          <w:lang w:val="ru-RU" w:eastAsia="ru-RU" w:bidi="ru-RU"/>
        </w:rPr>
        <w:tab/>
        <w:br/>
        <w:t>Пропускная способность</w:t>
      </w:r>
    </w:p>
    <w:p>
      <w:pPr>
        <w:pStyle w:val="Style12"/>
        <w:keepNext w:val="0"/>
        <w:keepLines w:val="0"/>
        <w:widowControl w:val="0"/>
        <w:shd w:val="clear" w:color="auto" w:fill="auto"/>
        <w:bidi w:val="0"/>
        <w:spacing w:before="0" w:after="0" w:line="240" w:lineRule="auto"/>
        <w:ind w:left="0" w:right="0" w:firstLine="460"/>
        <w:jc w:val="both"/>
      </w:pPr>
      <w:r>
        <mc:AlternateContent>
          <mc:Choice Requires="wps">
            <w:drawing>
              <wp:anchor distT="0" distB="0" distL="114300" distR="114300" simplePos="0" relativeHeight="125829380" behindDoc="0" locked="0" layoutInCell="1" allowOverlap="1">
                <wp:simplePos x="0" y="0"/>
                <wp:positionH relativeFrom="page">
                  <wp:posOffset>3681730</wp:posOffset>
                </wp:positionH>
                <wp:positionV relativeFrom="margin">
                  <wp:posOffset>83820</wp:posOffset>
                </wp:positionV>
                <wp:extent cx="405130" cy="393065"/>
                <wp:wrapSquare wrapText="left"/>
                <wp:docPr id="5" name="Shape 5"/>
                <a:graphic xmlns:a="http://schemas.openxmlformats.org/drawingml/2006/main">
                  <a:graphicData uri="http://schemas.microsoft.com/office/word/2010/wordprocessingShape">
                    <wps:wsp>
                      <wps:cNvSpPr txBox="1"/>
                      <wps:spPr>
                        <a:xfrm>
                          <a:ext cx="405130" cy="393065"/>
                        </a:xfrm>
                        <a:prstGeom prst="rect"/>
                        <a:noFill/>
                      </wps:spPr>
                      <wps:txbx>
                        <w:txbxContent>
                          <w:p>
                            <w:pPr>
                              <w:pStyle w:val="Style2"/>
                              <w:keepNext w:val="0"/>
                              <w:keepLines w:val="0"/>
                              <w:widowControl w:val="0"/>
                              <w:shd w:val="clear" w:color="auto" w:fill="auto"/>
                              <w:bidi w:val="0"/>
                              <w:spacing w:before="0" w:after="0" w:line="494" w:lineRule="auto"/>
                              <w:ind w:left="0" w:right="0" w:firstLine="0"/>
                              <w:jc w:val="center"/>
                            </w:pPr>
                            <w:r>
                              <w:rPr>
                                <w:color w:val="000000"/>
                                <w:spacing w:val="0"/>
                                <w:w w:val="100"/>
                                <w:position w:val="0"/>
                                <w:shd w:val="clear" w:color="auto" w:fill="auto"/>
                                <w:lang w:val="ru-RU" w:eastAsia="ru-RU" w:bidi="ru-RU"/>
                              </w:rPr>
                              <w:t>Да</w:t>
                              <w:br/>
                              <w:t>60 чед/мин</w:t>
                            </w:r>
                          </w:p>
                        </w:txbxContent>
                      </wps:txbx>
                      <wps:bodyPr lIns="0" tIns="0" rIns="0" bIns="0">
                        <a:noAutoFit/>
                      </wps:bodyPr>
                    </wps:wsp>
                  </a:graphicData>
                </a:graphic>
              </wp:anchor>
            </w:drawing>
          </mc:Choice>
          <mc:Fallback>
            <w:pict>
              <v:shape id="_x0000_s1031" type="#_x0000_t202" style="position:absolute;margin-left:289.90000000000003pt;margin-top:6.6000000000000005pt;width:31.900000000000002pt;height:30.949999999999999pt;z-index:-125829373;mso-wrap-distance-left:9.pt;mso-wrap-distance-right:9.pt;mso-position-horizontal-relative:page;mso-position-vertical-relative:margin" filled="f" stroked="f">
                <v:textbox inset="0,0,0,0">
                  <w:txbxContent>
                    <w:p>
                      <w:pPr>
                        <w:pStyle w:val="Style2"/>
                        <w:keepNext w:val="0"/>
                        <w:keepLines w:val="0"/>
                        <w:widowControl w:val="0"/>
                        <w:shd w:val="clear" w:color="auto" w:fill="auto"/>
                        <w:bidi w:val="0"/>
                        <w:spacing w:before="0" w:after="0" w:line="494" w:lineRule="auto"/>
                        <w:ind w:left="0" w:right="0" w:firstLine="0"/>
                        <w:jc w:val="center"/>
                      </w:pPr>
                      <w:r>
                        <w:rPr>
                          <w:color w:val="000000"/>
                          <w:spacing w:val="0"/>
                          <w:w w:val="100"/>
                          <w:position w:val="0"/>
                          <w:shd w:val="clear" w:color="auto" w:fill="auto"/>
                          <w:lang w:val="ru-RU" w:eastAsia="ru-RU" w:bidi="ru-RU"/>
                        </w:rPr>
                        <w:t>Да</w:t>
                        <w:br/>
                        <w:t>60 чед/мин</w:t>
                      </w:r>
                    </w:p>
                  </w:txbxContent>
                </v:textbox>
                <w10:wrap type="square" side="left" anchorx="page" anchory="margin"/>
              </v:shape>
            </w:pict>
          </mc:Fallback>
        </mc:AlternateContent>
      </w:r>
      <w:r>
        <w:rPr>
          <w:color w:val="000000"/>
          <w:spacing w:val="0"/>
          <w:w w:val="100"/>
          <w:position w:val="0"/>
          <w:shd w:val="clear" w:color="auto" w:fill="auto"/>
          <w:lang w:val="ru-RU" w:eastAsia="ru-RU" w:bidi="ru-RU"/>
        </w:rPr>
        <w:t>Комиссия Управления отмечает, что ООО «ОПКБ Экспломет» изготовитель металлодетекгора АКЕНА 5000РК имеет полный цикл производства арочных металлоискателей, что позволяет произвести металлодетекгор под конкретные потребности государственного или муниципального заказчика.</w:t>
      </w:r>
    </w:p>
    <w:p>
      <w:pPr>
        <w:pStyle w:val="Style12"/>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Таким образом, довод является необоснованным, поскольку Комиссией Управления уста</w:t>
        <w:softHyphen/>
        <w:t>новлено, что заявка ИП Ступникова П.Д. под номером 243 на участие в закупке соответствие тре</w:t>
        <w:softHyphen/>
        <w:t>бованиям, установленным в соответствии с законодательством Российской Федерации к лицам, осуществляющим поставку товара, являющимся объектом закупки.</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Жалоба ИП Григорович Любовь Ивановна (ИНН: 372201282626; ОГРН: 320370200031019) от 21.04.2023 № 4070/23 рассмотрена Комиссией Управления в соответствии с требованиями Закона о контрактной системе и Административного регламента ФАС России от 19 ноября 2014 №727/14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нужщ</w:t>
      </w:r>
    </w:p>
    <w:p>
      <w:pPr>
        <w:pStyle w:val="Style12"/>
        <w:keepNext w:val="0"/>
        <w:keepLines w:val="0"/>
        <w:widowControl w:val="0"/>
        <w:shd w:val="clear" w:color="auto" w:fill="auto"/>
        <w:bidi w:val="0"/>
        <w:spacing w:before="0" w:after="160" w:line="240" w:lineRule="auto"/>
        <w:ind w:left="0" w:right="0" w:firstLine="460"/>
        <w:jc w:val="both"/>
      </w:pPr>
      <w:r>
        <w:rPr>
          <w:color w:val="000000"/>
          <w:spacing w:val="0"/>
          <w:w w:val="100"/>
          <w:position w:val="0"/>
          <w:shd w:val="clear" w:color="auto" w:fill="auto"/>
          <w:lang w:val="ru-RU" w:eastAsia="ru-RU" w:bidi="ru-RU"/>
        </w:rPr>
        <w:t>Рассмотрев материалы дела, изучив представленные документы представителей сторон, руководствуясь положениями статьи 106 Закона о контрактной системе, Комиссия Управления</w:t>
      </w:r>
    </w:p>
    <w:p>
      <w:pPr>
        <w:pStyle w:val="Style14"/>
        <w:keepNext/>
        <w:keepLines/>
        <w:widowControl w:val="0"/>
        <w:shd w:val="clear" w:color="auto" w:fill="auto"/>
        <w:bidi w:val="0"/>
        <w:spacing w:before="0" w:after="160" w:line="240" w:lineRule="auto"/>
        <w:ind w:left="0" w:right="0" w:firstLine="0"/>
        <w:jc w:val="center"/>
      </w:pPr>
      <w:bookmarkStart w:id="14" w:name="bookmark14"/>
      <w:r>
        <w:rPr>
          <w:color w:val="000000"/>
          <w:spacing w:val="0"/>
          <w:w w:val="100"/>
          <w:position w:val="0"/>
          <w:shd w:val="clear" w:color="auto" w:fill="auto"/>
          <w:lang w:val="ru-RU" w:eastAsia="ru-RU" w:bidi="ru-RU"/>
        </w:rPr>
        <w:t>РЕШИЛА:</w:t>
      </w:r>
      <w:bookmarkEnd w:id="14"/>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1. Признать жалобу ИП Григорович Любовь Ивановна (ИНН: 372201282626; ОГРН: 320370200031019) от 21.04.2023 № 4070/23, на действия Заказчика - Лангепасское городское</w:t>
      </w:r>
    </w:p>
    <w:p>
      <w:pPr>
        <w:pStyle w:val="Style12"/>
        <w:keepNext w:val="0"/>
        <w:keepLines w:val="0"/>
        <w:widowControl w:val="0"/>
        <w:shd w:val="clear" w:color="auto" w:fill="auto"/>
        <w:bidi w:val="0"/>
        <w:spacing w:before="0" w:after="500" w:line="240" w:lineRule="auto"/>
        <w:ind w:left="0" w:right="0" w:firstLine="460"/>
        <w:jc w:val="both"/>
      </w:pPr>
      <w:r>
        <mc:AlternateContent>
          <mc:Choice Requires="wps">
            <w:drawing>
              <wp:anchor distT="0" distB="0" distL="0" distR="0" simplePos="0" relativeHeight="125829382" behindDoc="0" locked="0" layoutInCell="1" allowOverlap="1">
                <wp:simplePos x="0" y="0"/>
                <wp:positionH relativeFrom="page">
                  <wp:posOffset>502920</wp:posOffset>
                </wp:positionH>
                <wp:positionV relativeFrom="margin">
                  <wp:posOffset>3226435</wp:posOffset>
                </wp:positionV>
                <wp:extent cx="4111625" cy="460375"/>
                <wp:wrapTopAndBottom/>
                <wp:docPr id="7" name="Shape 7"/>
                <a:graphic xmlns:a="http://schemas.openxmlformats.org/drawingml/2006/main">
                  <a:graphicData uri="http://schemas.microsoft.com/office/word/2010/wordprocessingShape">
                    <wps:wsp>
                      <wps:cNvSpPr txBox="1"/>
                      <wps:spPr>
                        <a:xfrm>
                          <a:ext cx="4111625" cy="46037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муниципальное бюджетное учреждение "Дорожно-эксплуатационное управление", при проведении запроса котировок в электронной форме, предметом которого является поставка арочного металлодетекгора (извещение № 0387300117223000003) необоснованной.</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2. Обязательное для исполнения предписание не выдавать.</w:t>
                            </w:r>
                          </w:p>
                        </w:txbxContent>
                      </wps:txbx>
                      <wps:bodyPr lIns="0" tIns="0" rIns="0" bIns="0">
                        <a:noAutoFit/>
                      </wps:bodyPr>
                    </wps:wsp>
                  </a:graphicData>
                </a:graphic>
              </wp:anchor>
            </w:drawing>
          </mc:Choice>
          <mc:Fallback>
            <w:pict>
              <v:shape id="_x0000_s1033" type="#_x0000_t202" style="position:absolute;margin-left:39.600000000000001pt;margin-top:254.05000000000001pt;width:323.75pt;height:36.25pt;z-index:-125829371;mso-wrap-distance-left:0;mso-wrap-distance-right:0;mso-position-horizontal-relative:page;mso-position-vertical-relative:margin" filled="f" stroked="f">
                <v:textbox inset="0,0,0,0">
                  <w:txbxContent>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муниципальное бюджетное учреждение "Дорожно-эксплуатационное управление", при проведении запроса котировок в электронной форме, предметом которого является поставка арочного металлодетекгора (извещение № 0387300117223000003) необоснованной.</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2. Обязательное для исполнения предписание не выдавать.</w:t>
                      </w:r>
                    </w:p>
                  </w:txbxContent>
                </v:textbox>
                <w10:wrap type="topAndBottom" anchorx="page" anchory="margin"/>
              </v:shape>
            </w:pict>
          </mc:Fallback>
        </mc:AlternateContent>
      </w:r>
      <w:r>
        <w:rPr>
          <w:color w:val="000000"/>
          <w:spacing w:val="0"/>
          <w:w w:val="100"/>
          <w:position w:val="0"/>
          <w:shd w:val="clear" w:color="auto" w:fill="auto"/>
          <w:lang w:val="ru-RU" w:eastAsia="ru-RU" w:bidi="ru-RU"/>
        </w:rPr>
        <w:t xml:space="preserve">3. Направить данное решение сторонам и опубликовать на официальном сайте единой информационной системы в сфере закупок </w:t>
      </w:r>
      <w:r>
        <w:rPr>
          <w:color w:val="000000"/>
          <w:spacing w:val="0"/>
          <w:w w:val="100"/>
          <w:position w:val="0"/>
          <w:u w:val="single"/>
          <w:shd w:val="clear" w:color="auto" w:fill="auto"/>
          <w:lang w:val="ru-RU" w:eastAsia="ru-RU" w:bidi="ru-RU"/>
        </w:rPr>
        <w:t>(тущту.гакщйа.еоу.ш)</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Председатель Комиссии</w:t>
      </w:r>
    </w:p>
    <w:p>
      <w:pPr>
        <w:pStyle w:val="Style12"/>
        <w:keepNext w:val="0"/>
        <w:keepLines w:val="0"/>
        <w:widowControl w:val="0"/>
        <w:shd w:val="clear" w:color="auto" w:fill="auto"/>
        <w:bidi w:val="0"/>
        <w:spacing w:before="0" w:after="0" w:line="240" w:lineRule="auto"/>
        <w:ind w:left="0" w:right="0" w:firstLine="0"/>
        <w:jc w:val="both"/>
        <w:sectPr>
          <w:footerReference w:type="default" r:id="rId7"/>
          <w:footnotePr>
            <w:pos w:val="pageBottom"/>
            <w:numFmt w:val="decimal"/>
            <w:numRestart w:val="continuous"/>
          </w:footnotePr>
          <w:pgSz w:w="8400" w:h="11900"/>
          <w:pgMar w:top="958" w:right="1129" w:bottom="1762" w:left="763" w:header="530" w:footer="3" w:gutter="0"/>
          <w:cols w:space="720"/>
          <w:noEndnote/>
          <w:rtlGutter w:val="0"/>
          <w:docGrid w:linePitch="360"/>
        </w:sectPr>
      </w:pPr>
      <w:r>
        <w:drawing>
          <wp:anchor distT="0" distB="24765" distL="114300" distR="1076960" simplePos="0" relativeHeight="125829384" behindDoc="0" locked="0" layoutInCell="1" allowOverlap="1">
            <wp:simplePos x="0" y="0"/>
            <wp:positionH relativeFrom="page">
              <wp:posOffset>2953385</wp:posOffset>
            </wp:positionH>
            <wp:positionV relativeFrom="margin">
              <wp:posOffset>4015740</wp:posOffset>
            </wp:positionV>
            <wp:extent cx="646430" cy="640080"/>
            <wp:wrapSquare wrapText="left"/>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8"/>
                    <a:stretch/>
                  </pic:blipFill>
                  <pic:spPr>
                    <a:xfrm>
                      <a:ext cx="646430" cy="640080"/>
                    </a:xfrm>
                    <a:prstGeom prst="rect"/>
                  </pic:spPr>
                </pic:pic>
              </a:graphicData>
            </a:graphic>
          </wp:anchor>
        </w:drawing>
      </w:r>
      <w:r>
        <mc:AlternateContent>
          <mc:Choice Requires="wps">
            <w:drawing>
              <wp:anchor distT="207010" distB="635" distL="1016635" distR="113665" simplePos="0" relativeHeight="125829385" behindDoc="0" locked="0" layoutInCell="1" allowOverlap="1">
                <wp:simplePos x="0" y="0"/>
                <wp:positionH relativeFrom="page">
                  <wp:posOffset>3855720</wp:posOffset>
                </wp:positionH>
                <wp:positionV relativeFrom="margin">
                  <wp:posOffset>4222750</wp:posOffset>
                </wp:positionV>
                <wp:extent cx="707390" cy="454025"/>
                <wp:wrapSquare wrapText="left"/>
                <wp:docPr id="13" name="Shape 13"/>
                <a:graphic xmlns:a="http://schemas.openxmlformats.org/drawingml/2006/main">
                  <a:graphicData uri="http://schemas.microsoft.com/office/word/2010/wordprocessingShape">
                    <wps:wsp>
                      <wps:cNvSpPr txBox="1"/>
                      <wps:spPr>
                        <a:xfrm>
                          <a:ext cx="707390" cy="454025"/>
                        </a:xfrm>
                        <a:prstGeom prst="rect"/>
                        <a:noFill/>
                      </wps:spPr>
                      <wps:txbx>
                        <w:txbxContent>
                          <w:p>
                            <w:pPr>
                              <w:pStyle w:val="Style1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Е.А.Андрейцева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Сафонов</w:t>
                            </w:r>
                          </w:p>
                        </w:txbxContent>
                      </wps:txbx>
                      <wps:bodyPr lIns="0" tIns="0" rIns="0" bIns="0">
                        <a:noAutoFit/>
                      </wps:bodyPr>
                    </wps:wsp>
                  </a:graphicData>
                </a:graphic>
              </wp:anchor>
            </w:drawing>
          </mc:Choice>
          <mc:Fallback>
            <w:pict>
              <v:shape id="_x0000_s1039" type="#_x0000_t202" style="position:absolute;margin-left:303.60000000000002pt;margin-top:332.5pt;width:55.700000000000003pt;height:35.75pt;z-index:-125829368;mso-wrap-distance-left:80.049999999999997pt;mso-wrap-distance-top:16.300000000000001pt;mso-wrap-distance-right:8.9500000000000011pt;mso-wrap-distance-bottom:5.0000000000000003e-002pt;mso-position-horizontal-relative:page;mso-position-vertical-relative:margin" filled="f" stroked="f">
                <v:textbox inset="0,0,0,0">
                  <w:txbxContent>
                    <w:p>
                      <w:pPr>
                        <w:pStyle w:val="Style12"/>
                        <w:keepNext w:val="0"/>
                        <w:keepLines w:val="0"/>
                        <w:widowControl w:val="0"/>
                        <w:shd w:val="clear" w:color="auto" w:fill="auto"/>
                        <w:bidi w:val="0"/>
                        <w:spacing w:before="0" w:after="320" w:line="240" w:lineRule="auto"/>
                        <w:ind w:left="0" w:right="0" w:firstLine="0"/>
                        <w:jc w:val="left"/>
                      </w:pPr>
                      <w:r>
                        <w:rPr>
                          <w:color w:val="000000"/>
                          <w:spacing w:val="0"/>
                          <w:w w:val="100"/>
                          <w:position w:val="0"/>
                          <w:shd w:val="clear" w:color="auto" w:fill="auto"/>
                          <w:lang w:val="ru-RU" w:eastAsia="ru-RU" w:bidi="ru-RU"/>
                        </w:rPr>
                        <w:t>Е.А.Андрейцева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С.И. Сафонов</w:t>
                      </w:r>
                    </w:p>
                  </w:txbxContent>
                </v:textbox>
                <w10:wrap type="square" side="left" anchorx="page" anchory="margin"/>
              </v:shape>
            </w:pict>
          </mc:Fallback>
        </mc:AlternateContent>
      </w:r>
      <w:r>
        <w:drawing>
          <wp:anchor distT="0" distB="0" distL="114300" distR="784860" simplePos="0" relativeHeight="125829387" behindDoc="0" locked="0" layoutInCell="1" allowOverlap="1">
            <wp:simplePos x="0" y="0"/>
            <wp:positionH relativeFrom="page">
              <wp:posOffset>3212465</wp:posOffset>
            </wp:positionH>
            <wp:positionV relativeFrom="margin">
              <wp:posOffset>4716780</wp:posOffset>
            </wp:positionV>
            <wp:extent cx="554990" cy="40830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0"/>
                    <a:stretch/>
                  </pic:blipFill>
                  <pic:spPr>
                    <a:xfrm>
                      <a:ext cx="554990" cy="4083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3876675</wp:posOffset>
                </wp:positionH>
                <wp:positionV relativeFrom="margin">
                  <wp:posOffset>4878070</wp:posOffset>
                </wp:positionV>
                <wp:extent cx="557530" cy="121920"/>
                <wp:wrapNone/>
                <wp:docPr id="17" name="Shape 17"/>
                <a:graphic xmlns:a="http://schemas.openxmlformats.org/drawingml/2006/main">
                  <a:graphicData uri="http://schemas.microsoft.com/office/word/2010/wordprocessingShape">
                    <wps:wsp>
                      <wps:cNvSpPr txBox="1"/>
                      <wps:spPr>
                        <a:xfrm>
                          <a:ext cx="557530" cy="12192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Мацола</w:t>
                            </w:r>
                          </w:p>
                        </w:txbxContent>
                      </wps:txbx>
                      <wps:bodyPr lIns="0" tIns="0" rIns="0" bIns="0">
                        <a:noAutoFit/>
                      </wps:bodyPr>
                    </wps:wsp>
                  </a:graphicData>
                </a:graphic>
              </wp:anchor>
            </w:drawing>
          </mc:Choice>
          <mc:Fallback>
            <w:pict>
              <v:shape id="_x0000_s1043" type="#_x0000_t202" style="position:absolute;margin-left:305.25pt;margin-top:384.10000000000002pt;width:43.899999999999999pt;height:9.5999999999999996pt;z-index:251657729;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А.А. Мацола</w:t>
                      </w:r>
                    </w:p>
                  </w:txbxContent>
                </v:textbox>
                <w10:wrap anchorx="page" anchory="margin"/>
              </v:shape>
            </w:pict>
          </mc:Fallback>
        </mc:AlternateContent>
      </w:r>
      <w:r>
        <w:rPr>
          <w:color w:val="000000"/>
          <w:spacing w:val="0"/>
          <w:w w:val="100"/>
          <w:position w:val="0"/>
          <w:shd w:val="clear" w:color="auto" w:fill="auto"/>
          <w:lang w:val="ru-RU" w:eastAsia="ru-RU" w:bidi="ru-RU"/>
        </w:rPr>
        <w:t>Члены Комиссии:</w:t>
      </w:r>
    </w:p>
    <w:p>
      <w:pPr>
        <w:pStyle w:val="Style25"/>
        <w:keepNext w:val="0"/>
        <w:keepLines w:val="0"/>
        <w:widowControl w:val="0"/>
        <w:shd w:val="clear" w:color="auto" w:fill="auto"/>
        <w:bidi w:val="0"/>
        <w:spacing w:before="0" w:after="0"/>
        <w:ind w:left="0" w:right="0"/>
        <w:jc w:val="both"/>
      </w:pPr>
      <w:r>
        <w:rPr>
          <w:color w:val="000000"/>
          <w:spacing w:val="0"/>
          <w:w w:val="100"/>
          <w:position w:val="0"/>
          <w:shd w:val="clear" w:color="auto" w:fill="auto"/>
          <w:lang w:val="ru-RU" w:eastAsia="ru-RU" w:bidi="ru-RU"/>
        </w:rPr>
        <w:t>Решение, принятое по результатам рассмотрения жалобы по существу, может быть обжаловано в судебном порядке в течение трех месяцев с даты принятия.</w:t>
      </w:r>
    </w:p>
    <w:sectPr>
      <w:footnotePr>
        <w:pos w:val="pageBottom"/>
        <w:numFmt w:val="decimal"/>
        <w:numRestart w:val="continuous"/>
      </w:footnotePr>
      <w:pgSz w:w="8400" w:h="11900"/>
      <w:pgMar w:top="1036" w:right="1262" w:bottom="1716" w:left="64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572770</wp:posOffset>
              </wp:positionH>
              <wp:positionV relativeFrom="page">
                <wp:posOffset>6381750</wp:posOffset>
              </wp:positionV>
              <wp:extent cx="411480" cy="69850"/>
              <wp:wrapNone/>
              <wp:docPr id="1" name="Shape 1"/>
              <a:graphic xmlns:a="http://schemas.openxmlformats.org/drawingml/2006/main">
                <a:graphicData uri="http://schemas.microsoft.com/office/word/2010/wordprocessingShape">
                  <wps:wsp>
                    <wps:cNvSpPr txBox="1"/>
                    <wps:spPr>
                      <a:xfrm>
                        <a:ext cx="411480" cy="698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2023-3232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45.100000000000001pt;margin-top:502.5pt;width:32.399999999999999pt;height:5.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2023-3232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525780</wp:posOffset>
              </wp:positionH>
              <wp:positionV relativeFrom="page">
                <wp:posOffset>6501130</wp:posOffset>
              </wp:positionV>
              <wp:extent cx="411480" cy="73025"/>
              <wp:wrapNone/>
              <wp:docPr id="9" name="Shape 9"/>
              <a:graphic xmlns:a="http://schemas.openxmlformats.org/drawingml/2006/main">
                <a:graphicData uri="http://schemas.microsoft.com/office/word/2010/wordprocessingShape">
                  <wps:wsp>
                    <wps:cNvSpPr txBox="1"/>
                    <wps:spPr>
                      <a:xfrm>
                        <a:ext cx="41148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2023-3232</w:t>
                          </w:r>
                        </w:p>
                      </w:txbxContent>
                    </wps:txbx>
                    <wps:bodyPr wrap="none" lIns="0" tIns="0" rIns="0" bIns="0">
                      <a:spAutoFit/>
                    </wps:bodyPr>
                  </wps:wsp>
                </a:graphicData>
              </a:graphic>
            </wp:anchor>
          </w:drawing>
        </mc:Choice>
        <mc:Fallback>
          <w:pict>
            <v:shape id="_x0000_s1035" type="#_x0000_t202" style="position:absolute;margin-left:41.399999999999999pt;margin-top:511.90000000000003pt;width:32.399999999999999pt;height:5.7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2023-3232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2"/>
      <w:szCs w:val="12"/>
      <w:u w:val="non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Arial" w:eastAsia="Arial" w:hAnsi="Arial" w:cs="Arial"/>
      <w:b w:val="0"/>
      <w:bCs w:val="0"/>
      <w:i w:val="0"/>
      <w:iCs w:val="0"/>
      <w:smallCaps w:val="0"/>
      <w:strike w:val="0"/>
      <w:sz w:val="11"/>
      <w:szCs w:val="11"/>
      <w:u w:val="none"/>
    </w:rPr>
  </w:style>
  <w:style w:type="character" w:customStyle="1" w:styleId="CharStyle11">
    <w:name w:val="Заголовок №1_"/>
    <w:basedOn w:val="DefaultParagraphFont"/>
    <w:link w:val="Style10"/>
    <w:rPr>
      <w:b w:val="0"/>
      <w:bCs w:val="0"/>
      <w:i w:val="0"/>
      <w:iCs w:val="0"/>
      <w:smallCaps w:val="0"/>
      <w:strike w:val="0"/>
      <w:sz w:val="20"/>
      <w:szCs w:val="2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15"/>
      <w:szCs w:val="15"/>
      <w:u w:val="none"/>
    </w:rPr>
  </w:style>
  <w:style w:type="character" w:customStyle="1" w:styleId="CharStyle15">
    <w:name w:val="Заголовок №2_"/>
    <w:basedOn w:val="DefaultParagraphFont"/>
    <w:link w:val="Style14"/>
    <w:rPr>
      <w:rFonts w:ascii="Times New Roman" w:eastAsia="Times New Roman" w:hAnsi="Times New Roman" w:cs="Times New Roman"/>
      <w:b/>
      <w:bCs/>
      <w:i w:val="0"/>
      <w:iCs w:val="0"/>
      <w:smallCaps w:val="0"/>
      <w:strike w:val="0"/>
      <w:sz w:val="15"/>
      <w:szCs w:val="15"/>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sz w:val="15"/>
      <w:szCs w:val="15"/>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sz w:val="15"/>
      <w:szCs w:val="15"/>
      <w:u w:val="none"/>
    </w:rPr>
  </w:style>
  <w:style w:type="character" w:customStyle="1" w:styleId="CharStyle26">
    <w:name w:val="Основной текст (3)_"/>
    <w:basedOn w:val="DefaultParagraphFont"/>
    <w:link w:val="Style25"/>
    <w:rPr>
      <w:rFonts w:ascii="Times New Roman" w:eastAsia="Times New Roman" w:hAnsi="Times New Roman" w:cs="Times New Roman"/>
      <w:b/>
      <w:bCs/>
      <w:i/>
      <w:iCs/>
      <w:smallCaps w:val="0"/>
      <w:strike w:val="0"/>
      <w:sz w:val="9"/>
      <w:szCs w:val="9"/>
      <w:u w:val="none"/>
    </w:rPr>
  </w:style>
  <w:style w:type="paragraph" w:customStyle="1" w:styleId="Style2">
    <w:name w:val="Основной текст (2)"/>
    <w:basedOn w:val="Normal"/>
    <w:link w:val="CharStyle3"/>
    <w:pPr>
      <w:widowControl w:val="0"/>
      <w:shd w:val="clear" w:color="auto" w:fill="auto"/>
      <w:spacing w:line="254" w:lineRule="auto"/>
      <w:jc w:val="center"/>
    </w:pPr>
    <w:rPr>
      <w:rFonts w:ascii="Times New Roman" w:eastAsia="Times New Roman" w:hAnsi="Times New Roman" w:cs="Times New Roman"/>
      <w:b w:val="0"/>
      <w:bCs w:val="0"/>
      <w:i w:val="0"/>
      <w:iCs w:val="0"/>
      <w:smallCaps w:val="0"/>
      <w:strike w:val="0"/>
      <w:sz w:val="12"/>
      <w:szCs w:val="12"/>
      <w:u w:val="non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80" w:line="264" w:lineRule="auto"/>
      <w:jc w:val="center"/>
    </w:pPr>
    <w:rPr>
      <w:rFonts w:ascii="Arial" w:eastAsia="Arial" w:hAnsi="Arial" w:cs="Arial"/>
      <w:b w:val="0"/>
      <w:bCs w:val="0"/>
      <w:i w:val="0"/>
      <w:iCs w:val="0"/>
      <w:smallCaps w:val="0"/>
      <w:strike w:val="0"/>
      <w:sz w:val="11"/>
      <w:szCs w:val="11"/>
      <w:u w:val="none"/>
    </w:rPr>
  </w:style>
  <w:style w:type="paragraph" w:customStyle="1" w:styleId="Style10">
    <w:name w:val="Заголовок №1"/>
    <w:basedOn w:val="Normal"/>
    <w:link w:val="CharStyle11"/>
    <w:pPr>
      <w:widowControl w:val="0"/>
      <w:shd w:val="clear" w:color="auto" w:fill="auto"/>
      <w:spacing w:after="80"/>
      <w:outlineLvl w:val="0"/>
    </w:pPr>
    <w:rPr>
      <w:b w:val="0"/>
      <w:bCs w:val="0"/>
      <w:i w:val="0"/>
      <w:iCs w:val="0"/>
      <w:smallCaps w:val="0"/>
      <w:strike w:val="0"/>
      <w:sz w:val="20"/>
      <w:szCs w:val="2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15"/>
      <w:szCs w:val="15"/>
      <w:u w:val="none"/>
    </w:rPr>
  </w:style>
  <w:style w:type="paragraph" w:customStyle="1" w:styleId="Style14">
    <w:name w:val="Заголовок №2"/>
    <w:basedOn w:val="Normal"/>
    <w:link w:val="CharStyle15"/>
    <w:pPr>
      <w:widowControl w:val="0"/>
      <w:shd w:val="clear" w:color="auto" w:fill="auto"/>
      <w:outlineLvl w:val="1"/>
    </w:pPr>
    <w:rPr>
      <w:rFonts w:ascii="Times New Roman" w:eastAsia="Times New Roman" w:hAnsi="Times New Roman" w:cs="Times New Roman"/>
      <w:b/>
      <w:bCs/>
      <w:i w:val="0"/>
      <w:iCs w:val="0"/>
      <w:smallCaps w:val="0"/>
      <w:strike w:val="0"/>
      <w:sz w:val="15"/>
      <w:szCs w:val="15"/>
      <w:u w:val="none"/>
    </w:rPr>
  </w:style>
  <w:style w:type="paragraph" w:customStyle="1" w:styleId="Style17">
    <w:name w:val="Подпись к картинке"/>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15"/>
      <w:szCs w:val="15"/>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sz w:val="15"/>
      <w:szCs w:val="15"/>
      <w:u w:val="none"/>
    </w:rPr>
  </w:style>
  <w:style w:type="paragraph" w:customStyle="1" w:styleId="Style25">
    <w:name w:val="Основной текст (3)"/>
    <w:basedOn w:val="Normal"/>
    <w:link w:val="CharStyle26"/>
    <w:pPr>
      <w:widowControl w:val="0"/>
      <w:shd w:val="clear" w:color="auto" w:fill="auto"/>
      <w:spacing w:line="266" w:lineRule="auto"/>
      <w:ind w:firstLine="480"/>
    </w:pPr>
    <w:rPr>
      <w:rFonts w:ascii="Times New Roman" w:eastAsia="Times New Roman" w:hAnsi="Times New Roman" w:cs="Times New Roman"/>
      <w:b/>
      <w:bCs/>
      <w:i/>
      <w:iCs/>
      <w:smallCaps w:val="0"/>
      <w:strike w:val="0"/>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image1.png"/><Relationship Id="rId9" Type="http://schemas.openxmlformats.org/officeDocument/2006/relationships/image" Target="media/image1.png" TargetMode="External"/><Relationship Id="rId10" Type="http://schemas.openxmlformats.org/officeDocument/2006/relationships/image" Target="media/image2.png"/><Relationship Id="rId11" Type="http://schemas.openxmlformats.org/officeDocument/2006/relationships/image" Target="media/image2.png" TargetMode="External"/></Relationships>
</file>