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5385" distR="1108710" simplePos="0" relativeHeight="125829378" behindDoc="0" locked="0" layoutInCell="1" allowOverlap="1">
            <wp:simplePos x="0" y="0"/>
            <wp:positionH relativeFrom="page">
              <wp:posOffset>1504950</wp:posOffset>
            </wp:positionH>
            <wp:positionV relativeFrom="paragraph">
              <wp:posOffset>12700</wp:posOffset>
            </wp:positionV>
            <wp:extent cx="5245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09600"/>
                    </a:xfrm>
                    <a:prstGeom prst="rect"/>
                  </pic:spPr>
                </pic:pic>
              </a:graphicData>
            </a:graphic>
          </wp:anchor>
        </w:drawing>
      </w:r>
      <w:r>
        <mc:AlternateContent>
          <mc:Choice Requires="wps">
            <w:drawing>
              <wp:anchor distT="614680" distB="0" distL="114300" distR="114300" simplePos="0" relativeHeight="125829379" behindDoc="0" locked="0" layoutInCell="1" allowOverlap="1">
                <wp:simplePos x="0" y="0"/>
                <wp:positionH relativeFrom="page">
                  <wp:posOffset>443865</wp:posOffset>
                </wp:positionH>
                <wp:positionV relativeFrom="paragraph">
                  <wp:posOffset>627380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line="264"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r>
                          </w:p>
                          <w:p>
                            <w:pPr>
                              <w:pStyle w:val="Style2"/>
                              <w:keepNext w:val="0"/>
                              <w:keepLines w:val="0"/>
                              <w:widowControl w:val="0"/>
                              <w:shd w:val="clear" w:color="auto" w:fill="auto"/>
                              <w:bidi w:val="0"/>
                              <w:spacing w:before="0" w:after="280" w:line="240" w:lineRule="auto"/>
                              <w:ind w:left="0" w:right="0" w:firstLine="0"/>
                              <w:jc w:val="center"/>
                            </w:pPr>
                            <w:r>
                              <w:rPr>
                                <w:spacing w:val="0"/>
                                <w:w w:val="100"/>
                                <w:position w:val="0"/>
                                <w:shd w:val="clear" w:color="auto" w:fill="auto"/>
                                <w:lang w:val="ru-RU" w:eastAsia="ru-RU" w:bidi="ru-RU"/>
                              </w:rPr>
                              <w:t>107078, г. Москва,</w:t>
                              <w:br/>
                              <w:t>тел. (495) 784-75-05, факс (495) 607-49-29</w:t>
                              <w:br/>
                              <w:t xml:space="preserve">факс (495) 607-42-92, </w:t>
                            </w:r>
                            <w:r>
                              <w:rPr>
                                <w:spacing w:val="0"/>
                                <w:w w:val="100"/>
                                <w:position w:val="0"/>
                                <w:u w:val="single"/>
                                <w:shd w:val="clear" w:color="auto" w:fill="auto"/>
                                <w:lang w:val="ru-RU" w:eastAsia="ru-RU" w:bidi="ru-RU"/>
                              </w:rPr>
                              <w:t>е-гпай: 1о77@Га8.аоу.ги</w:t>
                            </w:r>
                          </w:p>
                          <w:p>
                            <w:pPr>
                              <w:pStyle w:val="Style2"/>
                              <w:keepNext w:val="0"/>
                              <w:keepLines w:val="0"/>
                              <w:widowControl w:val="0"/>
                              <w:shd w:val="clear" w:color="auto" w:fill="auto"/>
                              <w:tabs>
                                <w:tab w:leader="underscore" w:pos="1759" w:val="left"/>
                                <w:tab w:leader="underscore" w:pos="3926" w:val="left"/>
                              </w:tabs>
                              <w:bidi w:val="0"/>
                              <w:spacing w:before="0" w:line="240" w:lineRule="auto"/>
                              <w:ind w:left="0" w:right="0" w:firstLine="0"/>
                              <w:jc w:val="both"/>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tabs>
                                <w:tab w:leader="underscore" w:pos="1852" w:val="left"/>
                                <w:tab w:leader="underscore" w:pos="4005" w:val="left"/>
                              </w:tabs>
                              <w:bidi w:val="0"/>
                              <w:spacing w:before="0" w:line="240" w:lineRule="auto"/>
                              <w:ind w:left="0" w:right="0" w:firstLine="0"/>
                              <w:jc w:val="center"/>
                            </w:pPr>
                            <w:r>
                              <w:rPr>
                                <w:spacing w:val="0"/>
                                <w:w w:val="100"/>
                                <w:position w:val="0"/>
                                <w:shd w:val="clear" w:color="auto" w:fill="auto"/>
                                <w:lang w:val="ru-RU" w:eastAsia="ru-RU" w:bidi="ru-RU"/>
                              </w:rPr>
                              <w:t xml:space="preserve">На № </w:t>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4.950000000000003pt;margin-top:49.399999999999999pt;width:203.05000000000001pt;height:170.15000000000001pt;z-index:-125829374;mso-wrap-distance-left:9.pt;mso-wrap-distance-top:48.399999999999999pt;mso-wrap-distance-right:9.pt;mso-position-horizontal-relative:page" filled="f" stroked="f">
                <v:textbox inset="0,0,0,0">
                  <w:txbxContent>
                    <w:p>
                      <w:pPr>
                        <w:pStyle w:val="Style2"/>
                        <w:keepNext w:val="0"/>
                        <w:keepLines w:val="0"/>
                        <w:widowControl w:val="0"/>
                        <w:shd w:val="clear" w:color="auto" w:fill="auto"/>
                        <w:bidi w:val="0"/>
                        <w:spacing w:before="0" w:line="264"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r>
                    </w:p>
                    <w:p>
                      <w:pPr>
                        <w:pStyle w:val="Style2"/>
                        <w:keepNext w:val="0"/>
                        <w:keepLines w:val="0"/>
                        <w:widowControl w:val="0"/>
                        <w:shd w:val="clear" w:color="auto" w:fill="auto"/>
                        <w:bidi w:val="0"/>
                        <w:spacing w:before="0" w:after="280" w:line="240" w:lineRule="auto"/>
                        <w:ind w:left="0" w:right="0" w:firstLine="0"/>
                        <w:jc w:val="center"/>
                      </w:pPr>
                      <w:r>
                        <w:rPr>
                          <w:spacing w:val="0"/>
                          <w:w w:val="100"/>
                          <w:position w:val="0"/>
                          <w:shd w:val="clear" w:color="auto" w:fill="auto"/>
                          <w:lang w:val="ru-RU" w:eastAsia="ru-RU" w:bidi="ru-RU"/>
                        </w:rPr>
                        <w:t>107078, г. Москва,</w:t>
                        <w:br/>
                        <w:t>тел. (495) 784-75-05, факс (495) 607-49-29</w:t>
                        <w:br/>
                        <w:t xml:space="preserve">факс (495) 607-42-92, </w:t>
                      </w:r>
                      <w:r>
                        <w:rPr>
                          <w:spacing w:val="0"/>
                          <w:w w:val="100"/>
                          <w:position w:val="0"/>
                          <w:u w:val="single"/>
                          <w:shd w:val="clear" w:color="auto" w:fill="auto"/>
                          <w:lang w:val="ru-RU" w:eastAsia="ru-RU" w:bidi="ru-RU"/>
                        </w:rPr>
                        <w:t>е-гпай: 1о77@Га8.аоу.ги</w:t>
                      </w:r>
                    </w:p>
                    <w:p>
                      <w:pPr>
                        <w:pStyle w:val="Style2"/>
                        <w:keepNext w:val="0"/>
                        <w:keepLines w:val="0"/>
                        <w:widowControl w:val="0"/>
                        <w:shd w:val="clear" w:color="auto" w:fill="auto"/>
                        <w:tabs>
                          <w:tab w:leader="underscore" w:pos="1759" w:val="left"/>
                          <w:tab w:leader="underscore" w:pos="3926" w:val="left"/>
                        </w:tabs>
                        <w:bidi w:val="0"/>
                        <w:spacing w:before="0" w:line="240" w:lineRule="auto"/>
                        <w:ind w:left="0" w:right="0" w:firstLine="0"/>
                        <w:jc w:val="both"/>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tabs>
                          <w:tab w:leader="underscore" w:pos="1852" w:val="left"/>
                          <w:tab w:leader="underscore" w:pos="4005" w:val="left"/>
                        </w:tabs>
                        <w:bidi w:val="0"/>
                        <w:spacing w:before="0" w:line="240" w:lineRule="auto"/>
                        <w:ind w:left="0" w:right="0" w:firstLine="0"/>
                        <w:jc w:val="center"/>
                      </w:pPr>
                      <w:r>
                        <w:rPr>
                          <w:spacing w:val="0"/>
                          <w:w w:val="100"/>
                          <w:position w:val="0"/>
                          <w:shd w:val="clear" w:color="auto" w:fill="auto"/>
                          <w:lang w:val="ru-RU" w:eastAsia="ru-RU" w:bidi="ru-RU"/>
                        </w:rPr>
                        <w:t xml:space="preserve">На № </w:t>
                        <w:tab/>
                        <w:t xml:space="preserve"> </w:t>
                        <w:tab/>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700" w:right="0" w:firstLine="20"/>
        <w:jc w:val="both"/>
      </w:pPr>
      <w:r>
        <w:rPr>
          <w:color w:val="000000"/>
          <w:spacing w:val="0"/>
          <w:w w:val="100"/>
          <w:position w:val="0"/>
          <w:shd w:val="clear" w:color="auto" w:fill="auto"/>
          <w:lang w:val="ru-RU" w:eastAsia="ru-RU" w:bidi="ru-RU"/>
        </w:rPr>
        <w:t>ИП Тожибаев З.П.</w:t>
      </w:r>
    </w:p>
    <w:p>
      <w:pPr>
        <w:pStyle w:val="Style6"/>
        <w:keepNext w:val="0"/>
        <w:keepLines w:val="0"/>
        <w:widowControl w:val="0"/>
        <w:shd w:val="clear" w:color="auto" w:fill="auto"/>
        <w:bidi w:val="0"/>
        <w:spacing w:before="0" w:after="300" w:line="240" w:lineRule="auto"/>
        <w:ind w:left="700" w:right="0" w:firstLine="20"/>
        <w:jc w:val="both"/>
      </w:pPr>
      <w:r>
        <w:rPr>
          <w:color w:val="000000"/>
          <w:spacing w:val="0"/>
          <w:w w:val="100"/>
          <w:position w:val="0"/>
          <w:shd w:val="clear" w:color="auto" w:fill="auto"/>
          <w:lang w:val="ru-RU" w:eastAsia="ru-RU" w:bidi="ru-RU"/>
        </w:rPr>
        <w:t>^р.xаЫдxкоп@дта^1. сот</w:t>
      </w:r>
    </w:p>
    <w:p>
      <w:pPr>
        <w:pStyle w:val="Style6"/>
        <w:keepNext w:val="0"/>
        <w:keepLines w:val="0"/>
        <w:widowControl w:val="0"/>
        <w:shd w:val="clear" w:color="auto" w:fill="auto"/>
        <w:bidi w:val="0"/>
        <w:spacing w:before="0" w:after="0" w:line="240" w:lineRule="auto"/>
        <w:ind w:left="700" w:right="0" w:firstLine="20"/>
        <w:jc w:val="both"/>
      </w:pPr>
      <w:r>
        <w:rPr>
          <w:color w:val="000000"/>
          <w:spacing w:val="0"/>
          <w:w w:val="100"/>
          <w:position w:val="0"/>
          <w:shd w:val="clear" w:color="auto" w:fill="auto"/>
          <w:lang w:val="ru-RU" w:eastAsia="ru-RU" w:bidi="ru-RU"/>
        </w:rPr>
        <w:t>ГБУ г. Москвы «Жилищник района</w:t>
      </w:r>
    </w:p>
    <w:p>
      <w:pPr>
        <w:pStyle w:val="Style6"/>
        <w:keepNext w:val="0"/>
        <w:keepLines w:val="0"/>
        <w:widowControl w:val="0"/>
        <w:shd w:val="clear" w:color="auto" w:fill="auto"/>
        <w:bidi w:val="0"/>
        <w:spacing w:before="0" w:after="0" w:line="240" w:lineRule="auto"/>
        <w:ind w:left="700" w:right="0" w:firstLine="20"/>
        <w:jc w:val="both"/>
      </w:pPr>
      <w:r>
        <w:rPr>
          <w:color w:val="000000"/>
          <w:spacing w:val="0"/>
          <w:w w:val="100"/>
          <w:position w:val="0"/>
          <w:shd w:val="clear" w:color="auto" w:fill="auto"/>
          <w:lang w:val="ru-RU" w:eastAsia="ru-RU" w:bidi="ru-RU"/>
        </w:rPr>
        <w:t>Чертаново Центральное»</w:t>
      </w:r>
    </w:p>
    <w:p>
      <w:pPr>
        <w:pStyle w:val="Style6"/>
        <w:keepNext w:val="0"/>
        <w:keepLines w:val="0"/>
        <w:widowControl w:val="0"/>
        <w:shd w:val="clear" w:color="auto" w:fill="auto"/>
        <w:bidi w:val="0"/>
        <w:spacing w:before="0" w:after="300" w:line="240" w:lineRule="auto"/>
        <w:ind w:left="700" w:right="0" w:firstLine="20"/>
        <w:jc w:val="both"/>
      </w:pPr>
      <w:r>
        <w:rPr>
          <w:color w:val="000000"/>
          <w:spacing w:val="0"/>
          <w:w w:val="100"/>
          <w:position w:val="0"/>
          <w:shd w:val="clear" w:color="auto" w:fill="auto"/>
          <w:lang w:val="ru-RU" w:eastAsia="ru-RU" w:bidi="ru-RU"/>
        </w:rPr>
        <w:t>дЬискс@таП.ги</w:t>
      </w:r>
    </w:p>
    <w:p>
      <w:pPr>
        <w:pStyle w:val="Style6"/>
        <w:keepNext w:val="0"/>
        <w:keepLines w:val="0"/>
        <w:widowControl w:val="0"/>
        <w:shd w:val="clear" w:color="auto" w:fill="auto"/>
        <w:bidi w:val="0"/>
        <w:spacing w:before="0" w:after="300" w:line="240" w:lineRule="auto"/>
        <w:ind w:left="700" w:right="0" w:firstLine="20"/>
        <w:jc w:val="both"/>
      </w:pPr>
      <w:r>
        <w:rPr>
          <w:color w:val="000000"/>
          <w:spacing w:val="0"/>
          <w:w w:val="100"/>
          <w:position w:val="0"/>
          <w:shd w:val="clear" w:color="auto" w:fill="auto"/>
          <w:lang w:val="ru-RU" w:eastAsia="ru-RU" w:bidi="ru-RU"/>
        </w:rPr>
        <w:t>ГКУ «Дирекция ЖКХИБ ЮАО» дех-иао-рдо@таП.га</w:t>
      </w:r>
    </w:p>
    <w:p>
      <w:pPr>
        <w:pStyle w:val="Style6"/>
        <w:keepNext w:val="0"/>
        <w:keepLines w:val="0"/>
        <w:widowControl w:val="0"/>
        <w:shd w:val="clear" w:color="auto" w:fill="auto"/>
        <w:bidi w:val="0"/>
        <w:spacing w:before="0" w:after="0" w:line="240" w:lineRule="auto"/>
        <w:ind w:left="700" w:right="0" w:firstLine="20"/>
        <w:jc w:val="both"/>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0" w:line="240" w:lineRule="auto"/>
        <w:ind w:left="5060" w:right="0" w:firstLine="0"/>
        <w:jc w:val="both"/>
      </w:pPr>
      <w:r>
        <w:rPr>
          <w:color w:val="000000"/>
          <w:spacing w:val="0"/>
          <w:w w:val="100"/>
          <w:position w:val="0"/>
          <w:shd w:val="clear" w:color="auto" w:fill="auto"/>
          <w:lang w:val="ru-RU" w:eastAsia="ru-RU" w:bidi="ru-RU"/>
        </w:rPr>
        <w:t>115114, Кожевническая ул., д. 14, стр. 5, Москва</w:t>
      </w:r>
    </w:p>
    <w:p>
      <w:pPr>
        <w:pStyle w:val="Style6"/>
        <w:keepNext w:val="0"/>
        <w:keepLines w:val="0"/>
        <w:widowControl w:val="0"/>
        <w:shd w:val="clear" w:color="auto" w:fill="auto"/>
        <w:bidi w:val="0"/>
        <w:spacing w:before="0" w:after="300" w:line="240" w:lineRule="auto"/>
        <w:ind w:left="5060" w:right="0" w:firstLine="0"/>
        <w:jc w:val="both"/>
      </w:pPr>
      <w:r>
        <w:rPr>
          <w:color w:val="000000"/>
          <w:spacing w:val="0"/>
          <w:w w:val="100"/>
          <w:position w:val="0"/>
          <w:shd w:val="clear" w:color="auto" w:fill="auto"/>
          <w:lang w:val="ru-RU" w:eastAsia="ru-RU" w:bidi="ru-RU"/>
        </w:rPr>
        <w:t>ко@гозеИогд.ги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077/06/106-25835-ЭП/23/2023 о нарушении</w:t>
        <w:br/>
        <w:t>законодательства о контрактной системе</w:t>
      </w:r>
    </w:p>
    <w:p>
      <w:pPr>
        <w:pStyle w:val="Style6"/>
        <w:keepNext w:val="0"/>
        <w:keepLines w:val="0"/>
        <w:widowControl w:val="0"/>
        <w:shd w:val="clear" w:color="auto" w:fill="auto"/>
        <w:tabs>
          <w:tab w:pos="9376"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26.04.2023</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представителя ГКУ «Дирекция ЖКХИБ ЮАО»: Ходановой Н.А. (по доверенности №б/н от 09.01.2023),</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ИП Тожибаев З.П. и ГБУ г. Москвы «Жилищник района Чертаново Центральное», уведомленных о времени и порядке заседания письмом Московского УФАС России (исх. №ЕИ/17875/23 от 24.04.2023),</w:t>
      </w:r>
    </w:p>
    <w:p>
      <w:pPr>
        <w:pStyle w:val="Style6"/>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pgSz w:w="11900" w:h="16840"/>
          <w:pgMar w:top="292" w:right="523" w:bottom="292" w:left="662" w:header="0" w:footer="3" w:gutter="0"/>
          <w:pgNumType w:start="1"/>
          <w:cols w:space="720"/>
          <w:noEndnote/>
          <w:rtlGutter w:val="0"/>
          <w:docGrid w:linePitch="360"/>
        </w:sectPr>
      </w:pPr>
      <w:r>
        <w:rPr>
          <w:color w:val="000000"/>
          <w:spacing w:val="0"/>
          <w:w w:val="100"/>
          <w:position w:val="0"/>
          <w:shd w:val="clear" w:color="auto" w:fill="auto"/>
          <w:lang w:val="ru-RU" w:eastAsia="ru-RU" w:bidi="ru-RU"/>
        </w:rPr>
        <w:t>рассмотрев жалобу ИП Тожибаев З.П. (далее — Заявитель) на действия ГБУ г. Москвы «Жилищник района Чертаново Центральное» (далее — Заказчик) при проведении открытого конкурса в электронной форме на выполнение работ по ремонту инженерных систем в МКД (Закупка № 0373200086723000365)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32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указанного конкурса.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представленные документы и сведения, запрашиваемые письмом Московского УФАС России исх.№ЕИ/17875/23 от 24.04.2023,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на установление Заказчиком неправомерного порядка оценки заявок участников закупки по нестоимостному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ст.32 Закона о контрактной системе установлено, что для оценки заявок участников закупки заказчик использует следующие критерии:</w:t>
      </w:r>
    </w:p>
    <w:p>
      <w:pPr>
        <w:pStyle w:val="Style6"/>
        <w:keepNext w:val="0"/>
        <w:keepLines w:val="0"/>
        <w:widowControl w:val="0"/>
        <w:numPr>
          <w:ilvl w:val="0"/>
          <w:numId w:val="1"/>
        </w:numPr>
        <w:shd w:val="clear" w:color="auto" w:fill="auto"/>
        <w:tabs>
          <w:tab w:pos="103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6"/>
        <w:keepNext w:val="0"/>
        <w:keepLines w:val="0"/>
        <w:widowControl w:val="0"/>
        <w:numPr>
          <w:ilvl w:val="0"/>
          <w:numId w:val="1"/>
        </w:numPr>
        <w:shd w:val="clear" w:color="auto" w:fill="auto"/>
        <w:tabs>
          <w:tab w:pos="106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6"/>
        <w:keepNext w:val="0"/>
        <w:keepLines w:val="0"/>
        <w:widowControl w:val="0"/>
        <w:numPr>
          <w:ilvl w:val="0"/>
          <w:numId w:val="1"/>
        </w:numPr>
        <w:shd w:val="clear" w:color="auto" w:fill="auto"/>
        <w:tabs>
          <w:tab w:pos="104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6"/>
        <w:keepNext w:val="0"/>
        <w:keepLines w:val="0"/>
        <w:widowControl w:val="0"/>
        <w:numPr>
          <w:ilvl w:val="0"/>
          <w:numId w:val="1"/>
        </w:numPr>
        <w:shd w:val="clear" w:color="auto" w:fill="auto"/>
        <w:tabs>
          <w:tab w:pos="104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извещением о проведении открытого конкурса в электронной форме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абз.1 п.2 Положения «оценка заявок» - действия членов комиссии по </w:t>
      </w:r>
      <w:r>
        <w:rPr>
          <w:color w:val="000000"/>
          <w:spacing w:val="0"/>
          <w:w w:val="100"/>
          <w:position w:val="0"/>
          <w:shd w:val="clear" w:color="auto" w:fill="auto"/>
          <w:lang w:val="ru-RU" w:eastAsia="ru-RU" w:bidi="ru-RU"/>
        </w:rPr>
        <w:t>осуществлению закупок по присвоению в случаях, предусмотренных Законом о контрактной системе, и в соответствии с настоящим Положением баллов заявкам (частям заявок) на основании информации и документов участников закупок.</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6"/>
        <w:keepNext w:val="0"/>
        <w:keepLines w:val="0"/>
        <w:widowControl w:val="0"/>
        <w:numPr>
          <w:ilvl w:val="0"/>
          <w:numId w:val="3"/>
        </w:numPr>
        <w:shd w:val="clear" w:color="auto" w:fill="auto"/>
        <w:tabs>
          <w:tab w:pos="1046"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6"/>
        <w:keepNext w:val="0"/>
        <w:keepLines w:val="0"/>
        <w:widowControl w:val="0"/>
        <w:numPr>
          <w:ilvl w:val="0"/>
          <w:numId w:val="3"/>
        </w:numPr>
        <w:shd w:val="clear" w:color="auto" w:fill="auto"/>
        <w:tabs>
          <w:tab w:pos="1047"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6"/>
        <w:keepNext w:val="0"/>
        <w:keepLines w:val="0"/>
        <w:widowControl w:val="0"/>
        <w:numPr>
          <w:ilvl w:val="0"/>
          <w:numId w:val="3"/>
        </w:numPr>
        <w:shd w:val="clear" w:color="auto" w:fill="auto"/>
        <w:tabs>
          <w:tab w:pos="1033"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6"/>
        <w:keepNext w:val="0"/>
        <w:keepLines w:val="0"/>
        <w:widowControl w:val="0"/>
        <w:numPr>
          <w:ilvl w:val="0"/>
          <w:numId w:val="3"/>
        </w:numPr>
        <w:shd w:val="clear" w:color="auto" w:fill="auto"/>
        <w:tabs>
          <w:tab w:pos="1037"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6"/>
        <w:keepNext w:val="0"/>
        <w:keepLines w:val="0"/>
        <w:widowControl w:val="0"/>
        <w:numPr>
          <w:ilvl w:val="0"/>
          <w:numId w:val="3"/>
        </w:numPr>
        <w:shd w:val="clear" w:color="auto" w:fill="auto"/>
        <w:tabs>
          <w:tab w:pos="1057"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Согласно пп.«а» п.28 Положения установлено, что в случае применения показателя оценки, предусмотренного пп.«в» п.24 Положения применяются один или несколько из следующих детализирующих показателей оценки:</w:t>
      </w:r>
    </w:p>
    <w:p>
      <w:pPr>
        <w:pStyle w:val="Style6"/>
        <w:keepNext w:val="0"/>
        <w:keepLines w:val="0"/>
        <w:widowControl w:val="0"/>
        <w:numPr>
          <w:ilvl w:val="0"/>
          <w:numId w:val="5"/>
        </w:numPr>
        <w:shd w:val="clear" w:color="auto" w:fill="auto"/>
        <w:tabs>
          <w:tab w:pos="91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6"/>
        <w:keepNext w:val="0"/>
        <w:keepLines w:val="0"/>
        <w:widowControl w:val="0"/>
        <w:numPr>
          <w:ilvl w:val="0"/>
          <w:numId w:val="5"/>
        </w:numPr>
        <w:shd w:val="clear" w:color="auto" w:fill="auto"/>
        <w:tabs>
          <w:tab w:pos="91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общее количество исполненных участником закупки договоров;</w:t>
      </w:r>
    </w:p>
    <w:p>
      <w:pPr>
        <w:pStyle w:val="Style6"/>
        <w:keepNext w:val="0"/>
        <w:keepLines w:val="0"/>
        <w:widowControl w:val="0"/>
        <w:numPr>
          <w:ilvl w:val="0"/>
          <w:numId w:val="5"/>
        </w:numPr>
        <w:shd w:val="clear" w:color="auto" w:fill="auto"/>
        <w:tabs>
          <w:tab w:pos="912" w:val="left"/>
        </w:tabs>
        <w:bidi w:val="0"/>
        <w:spacing w:before="0" w:after="0" w:line="252" w:lineRule="auto"/>
        <w:ind w:left="0" w:right="0" w:firstLine="700"/>
        <w:jc w:val="both"/>
      </w:pPr>
      <w:r>
        <w:rPr>
          <w:color w:val="000000"/>
          <w:spacing w:val="0"/>
          <w:w w:val="100"/>
          <w:position w:val="0"/>
          <w:shd w:val="clear" w:color="auto" w:fill="auto"/>
          <w:lang w:val="ru-RU" w:eastAsia="ru-RU" w:bidi="ru-RU"/>
        </w:rPr>
        <w:t>наибольшая цена одного из исполненных участником закупки договоров.</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Комиссией Управления определено, что Заказчиком установлен следующий порядок оценки заявок по детализирующему показателю «Общее количество исполненных участником закупки договоров»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«Оценивается предложение участника об общем количестве исполненных участником закупки контрактов (договоров) за последние 5 лет, предшествующие дате окончания срока подачи заявок на участие в настоящем конкурсе (оценивается суммарное количество исполненных участником закупки контрактов (договоров), связанных с предметом контракта, заключаемого по результатам проведения закупки).</w:t>
      </w:r>
    </w:p>
    <w:p>
      <w:pPr>
        <w:pStyle w:val="Style6"/>
        <w:keepNext w:val="0"/>
        <w:keepLines w:val="0"/>
        <w:widowControl w:val="0"/>
        <w:shd w:val="clear" w:color="auto" w:fill="auto"/>
        <w:bidi w:val="0"/>
        <w:spacing w:before="0" w:after="0" w:line="252" w:lineRule="auto"/>
        <w:ind w:left="0" w:right="0" w:firstLine="700"/>
        <w:jc w:val="both"/>
      </w:pPr>
      <w:r>
        <w:rPr>
          <w:b/>
          <w:bCs/>
          <w:color w:val="000000"/>
          <w:spacing w:val="0"/>
          <w:w w:val="100"/>
          <w:position w:val="0"/>
          <w:shd w:val="clear" w:color="auto" w:fill="auto"/>
          <w:lang w:val="ru-RU" w:eastAsia="ru-RU" w:bidi="ru-RU"/>
        </w:rPr>
        <w:t>Под работами (услугами), связанными с предметом контракта, заключаемого по результатам проведения закупки, понимаются работы по текущему и(или) капитальному ремонту зданий, сооружений, объектов капитального строительства (за исключением линейных объектов).</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Последний акт, составленный при исполнении договора и предусмотренный абзацем третьим подпункта "в" пункта 28 постановлением Правительства Российской Федерации от 31.12.2021 № 2604, должен быть подписан не ранее чем за 5 лет до даты окончания срока подачи заявок.</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 правовые договоры, в том числе заключенные и исполненные в соответствии с Федеральным законом.</w:t>
      </w:r>
    </w:p>
    <w:p>
      <w:pPr>
        <w:pStyle w:val="Style6"/>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К оценке принимается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Копии указанных документов должны быть представлены в полном объеме со всеми приложениями, являющимися их неотъемлемой частью (должны быть представлены все страницы контрактов (договоров), а также актов оказанных услуг).</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представленные документы должны быть в виде неповторяющихся, полно читаемых копий, на которых видны необходимые сведения, подписи и печати.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случае если контракты заключены в электронной форме, опыт может быть подтвержден размещенными на сайте Единой информационной системы в сфере закупок /акиркЁдо^ш «Информацией о заключенном контракте (его изменении)» и «Информацией об исполнении (о расторжении) контракта» при условии предоставления в составе заявки формы «Сводные сведения о наличии у участника закупки опыта по выполнению работ, связанных с предметом контракта (договора)», содержащей данные о реестровом номере закупки, номере контракта, дате заключения, предмете, сумме контракта, дате исполнения контракта.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Рекомендуемая форма «Сводные сведения о наличии у участника закупки опыта по выполнению работ, связанных с предметом контракта (договора)» приведена в Приложении № _1_ к настоящим критериям оценки заявок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конкурсе либо информацией, размещенной на сайте Единой информационной системы в сфере закупок /акиркгдоу. ги».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Заявитель также указывает, что в положениях порядка оценки Заказчиком неправомерно установлена возможность участников закупочной процедуры представить сведения о контрактах (договорах) по вышеуказанному детализирующему показателю на выполнение ремонто-строительных работ, что нарушает п. 33 Положения.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Комиссия Управления отмечает, что в соответствии с пп. «в» п. 33 Постановления № 2604 при осуществлении закупки, по результатам проведения которой заключается контракт на выполнение работ по текущему ремонту зданий, сооружений документом, предусмотренным приложением ^ 1 к настоящему Положению, в отношении показателя, предусмотренного подпунктом "в" пункта 24 настоящего Положения, его детализирующих показателей устанавливается положение о принятии к оценке </w:t>
      </w:r>
      <w:r>
        <w:rPr>
          <w:b/>
          <w:bCs/>
          <w:color w:val="000000"/>
          <w:spacing w:val="0"/>
          <w:w w:val="100"/>
          <w:position w:val="0"/>
          <w:shd w:val="clear" w:color="auto" w:fill="auto"/>
          <w:lang w:val="ru-RU" w:eastAsia="ru-RU" w:bidi="ru-RU"/>
        </w:rPr>
        <w:t>исключительно исполненного договора (договоров), предусматривающего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неустановление порядка оценки заявок данной закупочной процедуры в соответствии с положениями п. 33 Положения является следствием технической ошибки.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установленный Заказчиком порядок оценки заявок по детализирующему показателю «Общее количество исполненных участником закупки договоров» нарушает п.11 ч.1 ст.42, ч.8 ст.32 Закона о контрактной системе при утверждении вышеуказанного порядка оценки, что содержит признаки состава административного правонарушения, ответственность за которое предусмотрена ч.1.4 ст.7.30 Кодекса административных правонарушений.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Согласно доводам жалобы Заказчиком в нарушение ч.2 ст.31 Закона о контрактной системе неправомерно не установлено дополнительное требование к участникам закупки, а именно требование о наличии опыта исполнения участником закупки договора, предусматривающего выполнение работ по текущему ремонту зданий, сооружений, опыта исполнения договора, предусматривающего выполнение работ по капитальному ремонту объекта капитального строительства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предусмотренное п.15 постановления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6"/>
        <w:keepNext w:val="0"/>
        <w:keepLines w:val="0"/>
        <w:widowControl w:val="0"/>
        <w:numPr>
          <w:ilvl w:val="0"/>
          <w:numId w:val="7"/>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6"/>
        <w:keepNext w:val="0"/>
        <w:keepLines w:val="0"/>
        <w:widowControl w:val="0"/>
        <w:numPr>
          <w:ilvl w:val="0"/>
          <w:numId w:val="7"/>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6"/>
        <w:keepNext w:val="0"/>
        <w:keepLines w:val="0"/>
        <w:widowControl w:val="0"/>
        <w:numPr>
          <w:ilvl w:val="0"/>
          <w:numId w:val="7"/>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6"/>
        <w:keepNext w:val="0"/>
        <w:keepLines w:val="0"/>
        <w:widowControl w:val="0"/>
        <w:numPr>
          <w:ilvl w:val="0"/>
          <w:numId w:val="7"/>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ч.3 ст.31 Закона о контрактной системе перечень информации и документов, которые подтверждают соответствие участников закупок дополнительным </w:t>
      </w:r>
      <w:r>
        <w:rPr>
          <w:color w:val="000000"/>
          <w:spacing w:val="0"/>
          <w:w w:val="100"/>
          <w:position w:val="0"/>
          <w:shd w:val="clear" w:color="auto" w:fill="auto"/>
          <w:lang w:val="ru-RU" w:eastAsia="ru-RU" w:bidi="ru-RU"/>
        </w:rPr>
        <w:t>требованиям, указанным в ч.2 и 2.1 ст.31 Закона о контрактной системе, устанавливается Правительством Российской Федерации, в данном конкретном случае в соответствии с постановлением № 2571.</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соответствии с извещением о проведении электронного аукциона от 05.04.2023 №0373200086723000365 объектом закупки является выполнение работ по ремонту инженерных систем в МКД с начальной (максимальной) ценой контракта 7 354 315,32 рублей.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«а» ч.3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36 приложения применяется в случае, если при осуществлении закупки начальная (максимальная) цена контракта превышает 1 млн. рублей.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15 постановления № 2571 при проведении конкурентных процедур по выполнению работ по текущему ремонту зданий, сооружений, к участникам закупки устанавливаются дополнительные требования, подтверждающиеся наличием опыта исполнения участником закупки договора, предусматривающего выполнение о текущему ремонту зданий, сооружений, опыта исполнения договора, предусматривающего выполнение работ по капитальному ремонту объекта капитального строительства.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дополнительные требования не устанавливались в извещении о проведении данного электронного аукциона вследствие технической ошибки.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ч.4 ст.31, п.12 ч.1 ст.42 Закона о контрактной системе ввиду неустановления требований, предъявляемых к участникам закупки в соответствии с ч.2 ст.31 Закона о контрактной системе, что содержит признаки состава административного правонарушения, ответственность за которое предусмотрена ч.4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9"/>
        </w:numPr>
        <w:shd w:val="clear" w:color="auto" w:fill="auto"/>
        <w:tabs>
          <w:tab w:pos="105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ИП Тожибаев З.П. на действия ГБУ г. Москвы «Жилищник района Чертаново Центрально обоснованной.</w:t>
      </w:r>
    </w:p>
    <w:p>
      <w:pPr>
        <w:pStyle w:val="Style6"/>
        <w:keepNext w:val="0"/>
        <w:keepLines w:val="0"/>
        <w:widowControl w:val="0"/>
        <w:numPr>
          <w:ilvl w:val="0"/>
          <w:numId w:val="9"/>
        </w:numPr>
        <w:shd w:val="clear" w:color="auto" w:fill="auto"/>
        <w:tabs>
          <w:tab w:pos="105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Заказчика ч.4 ст.31, ч.8 ст.32, п.11 ч.1 ст.42, п.12 ч.1 ст. 42 Закона о контрактной системе.</w:t>
      </w:r>
    </w:p>
    <w:p>
      <w:pPr>
        <w:pStyle w:val="Style6"/>
        <w:keepNext w:val="0"/>
        <w:keepLines w:val="0"/>
        <w:widowControl w:val="0"/>
        <w:numPr>
          <w:ilvl w:val="0"/>
          <w:numId w:val="9"/>
        </w:numPr>
        <w:shd w:val="clear" w:color="auto" w:fill="auto"/>
        <w:tabs>
          <w:tab w:pos="105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9"/>
        </w:numPr>
        <w:shd w:val="clear" w:color="auto" w:fill="auto"/>
        <w:tabs>
          <w:tab w:pos="1064" w:val="left"/>
        </w:tabs>
        <w:bidi w:val="0"/>
        <w:spacing w:before="0" w:after="32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580" w:line="240" w:lineRule="auto"/>
        <w:ind w:left="0" w:right="0" w:firstLine="5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6"/>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5869305</wp:posOffset>
                </wp:positionH>
                <wp:positionV relativeFrom="paragraph">
                  <wp:posOffset>12700</wp:posOffset>
                </wp:positionV>
                <wp:extent cx="1325880" cy="1036320"/>
                <wp:wrapSquare wrapText="left"/>
                <wp:docPr id="5" name="Shape 5"/>
                <a:graphic xmlns:a="http://schemas.openxmlformats.org/drawingml/2006/main">
                  <a:graphicData uri="http://schemas.microsoft.com/office/word/2010/wordprocessingShape">
                    <wps:wsp>
                      <wps:cNvSpPr txBox="1"/>
                      <wps:spPr>
                        <a:xfrm>
                          <a:ext cx="1325880" cy="1036320"/>
                        </a:xfrm>
                        <a:prstGeom prst="rect"/>
                        <a:noFill/>
                      </wps:spPr>
                      <wps:txbx>
                        <w:txbxContent>
                          <w:p>
                            <w:pPr>
                              <w:pStyle w:val="Style6"/>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ru-RU" w:eastAsia="ru-RU" w:bidi="ru-RU"/>
                              </w:rPr>
                              <w:t>С.И. Казарин</w:t>
                            </w:r>
                          </w:p>
                          <w:p>
                            <w:pPr>
                              <w:pStyle w:val="Style6"/>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ru-RU" w:eastAsia="ru-RU" w:bidi="ru-RU"/>
                              </w:rPr>
                              <w:t>А.А. Матюшенко</w:t>
                            </w:r>
                          </w:p>
                          <w:p>
                            <w:pPr>
                              <w:pStyle w:val="Style6"/>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ru-RU" w:eastAsia="ru-RU" w:bidi="ru-RU"/>
                              </w:rPr>
                              <w:t>М.О. Мацнева</w:t>
                            </w:r>
                          </w:p>
                        </w:txbxContent>
                      </wps:txbx>
                      <wps:bodyPr lIns="0" tIns="0" rIns="0" bIns="0">
                        <a:noAutoFit/>
                      </wps:bodyPr>
                    </wps:wsp>
                  </a:graphicData>
                </a:graphic>
              </wp:anchor>
            </w:drawing>
          </mc:Choice>
          <mc:Fallback>
            <w:pict>
              <v:shape id="_x0000_s1031" type="#_x0000_t202" style="position:absolute;margin-left:462.15000000000003pt;margin-top:1.pt;width:104.40000000000001pt;height:81.600000000000009pt;z-index:-12582937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ru-RU" w:eastAsia="ru-RU" w:bidi="ru-RU"/>
                        </w:rPr>
                        <w:t>С.И. Казарин</w:t>
                      </w:r>
                    </w:p>
                    <w:p>
                      <w:pPr>
                        <w:pStyle w:val="Style6"/>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ru-RU" w:eastAsia="ru-RU" w:bidi="ru-RU"/>
                        </w:rPr>
                        <w:t>А.А. Матюшенко</w:t>
                      </w:r>
                    </w:p>
                    <w:p>
                      <w:pPr>
                        <w:pStyle w:val="Style6"/>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ru-RU" w:eastAsia="ru-RU" w:bidi="ru-RU"/>
                        </w:rPr>
                        <w:t>М.О. Мацнева</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11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Исп.Мацнева М.О.</w:t>
      </w:r>
    </w:p>
    <w:p>
      <w:pPr>
        <w:pStyle w:val="Style12"/>
        <w:keepNext w:val="0"/>
        <w:keepLines w:val="0"/>
        <w:widowControl w:val="0"/>
        <w:shd w:val="clear" w:color="auto" w:fill="auto"/>
        <w:bidi w:val="0"/>
        <w:spacing w:before="0" w:after="440" w:line="240" w:lineRule="auto"/>
        <w:ind w:left="0" w:right="0" w:firstLine="0"/>
        <w:jc w:val="left"/>
      </w:pPr>
      <w:r>
        <w:rPr>
          <w:color w:val="000000"/>
          <w:spacing w:val="0"/>
          <w:w w:val="100"/>
          <w:position w:val="0"/>
          <w:shd w:val="clear" w:color="auto" w:fill="auto"/>
          <w:lang w:val="ru-RU" w:eastAsia="ru-RU" w:bidi="ru-RU"/>
        </w:rPr>
        <w:t>тел.8(495)784-75-05</w:t>
      </w:r>
    </w:p>
    <w:sectPr>
      <w:headerReference w:type="default" r:id="rId7"/>
      <w:footnotePr>
        <w:pos w:val="pageBottom"/>
        <w:numFmt w:val="decimal"/>
        <w:numRestart w:val="continuous"/>
      </w:footnotePr>
      <w:pgSz w:w="11900" w:h="16840"/>
      <w:pgMar w:top="651" w:right="526" w:bottom="247" w:left="656"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3784600</wp:posOffset>
              </wp:positionH>
              <wp:positionV relativeFrom="page">
                <wp:posOffset>130175</wp:posOffset>
              </wp:positionV>
              <wp:extent cx="64135" cy="103505"/>
              <wp:wrapNone/>
              <wp:docPr id="7" name="Shape 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298.pt;margin-top:10.25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3D60B1"/>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Основной текст (3)_"/>
    <w:basedOn w:val="DefaultParagraphFont"/>
    <w:link w:val="Style1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after="200"/>
      <w:jc w:val="center"/>
    </w:pPr>
    <w:rPr>
      <w:rFonts w:ascii="Times New Roman" w:eastAsia="Times New Roman" w:hAnsi="Times New Roman" w:cs="Times New Roman"/>
      <w:b w:val="0"/>
      <w:bCs w:val="0"/>
      <w:i w:val="0"/>
      <w:iCs w:val="0"/>
      <w:smallCaps w:val="0"/>
      <w:strike w:val="0"/>
      <w:color w:val="3D60B1"/>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Основной текст (3)"/>
    <w:basedOn w:val="Normal"/>
    <w:link w:val="CharStyle13"/>
    <w:pPr>
      <w:widowControl w:val="0"/>
      <w:shd w:val="clear" w:color="auto" w:fill="auto"/>
      <w:spacing w:after="2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s>
</file>