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215900" distB="1009650" distL="215900" distR="233680" simplePos="0" relativeHeight="125829378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12700</wp:posOffset>
                </wp:positionV>
                <wp:extent cx="2581275" cy="24961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2496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399999999999999pt;margin-top:1.pt;width:203.25pt;height:196.55000000000001pt;z-index:-125829375;mso-wrap-distance-left:17.pt;mso-wrap-distance-top:17.pt;mso-wrap-distance-right:18.400000000000002pt;mso-wrap-distance-bottom:79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326765" distB="215900" distL="221615" distR="215900" simplePos="0" relativeHeight="125829380" behindDoc="0" locked="0" layoutInCell="1" allowOverlap="1">
            <wp:simplePos x="0" y="0"/>
            <wp:positionH relativeFrom="page">
              <wp:posOffset>734695</wp:posOffset>
            </wp:positionH>
            <wp:positionV relativeFrom="paragraph">
              <wp:posOffset>3123565</wp:posOffset>
            </wp:positionV>
            <wp:extent cx="2590800" cy="17653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2685415</wp:posOffset>
                </wp:positionV>
                <wp:extent cx="2581275" cy="12954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1295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399999999999999pt;margin-top:211.45000000000002pt;width:203.25pt;height:10.2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Мосолов Д.С.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то8о1о»843@'та1кги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МНИОИ им. П.А. Герцена — филиал ФГБУ «НМИЦ радиологии» Минздрава России до8_/акаркгУпт 1гс.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д.23-А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тГо@118-1:епдег.га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077/06/106-№25829-ЭП/23 /2023 о нарушении</w:t>
        <w:br/>
        <w:t>законодательства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26.04.2023</w:t>
        <w:tab/>
        <w:t>г. Москва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ИП Мосолов Д.С.: Кириченко Ю.Н. (по доверенности №б/н от 14.04.2023); МНИОИ им. П.А. Герцена — филиал ФГБУ «НМИЦ радиологии» Минздрава России: Герасимовой Е.А. (по доверенности №75 от 24.04.2023), Губкина И.А. (по доверенности №317 от 26.12.2022),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Мосолов Д.С. (далее — Заявитель) на действия МНИОИ им. П.А. Герцена — филиал ФГБУ «НМИЦ радиологии» Минздрава России (далее — Заказчик) при проведении электронного аукциона на право заключения государственного контракта на поставку оборудования (Закупка № 0373400010923000191)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указанного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 № ИА/17890/23 от 24.04.2023.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в технической части Извещения о проведении электронного аукциона от 17.04.2023 по закупочной процедуре № 0373400010923000191 установлены неправомерные требования к поставляемому товару.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противоречащих друг другу требований, что вводит участников закупки в заблуждение.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КТРУ) и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при применении позиции КТРУ необходимо руководствоваться характеристиками указанной позиции, при этом в случае наличия необходимости и соответствующего обоснования, размещенного в ЕИС, возможно указать дополнительные характеристики.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для поставляемого товара «Стиральная машина профессиональная» в п. 1.4 «Номинальная (максимальная) загрузка белья» установлено требование: «&gt; 10 и &lt; 15 кг.». Вместе с тем в п. 1.7 «Загрузка сухого текстиля»: не более 13 кг.», что по мнению Заявителя противоречит требованиям КТРУ и не позволяет определить соответствие товара требованиям Заказчика. Также в п. 1.10 «Объем барабана» установлено дополнительное требование: «Объем барабана: не менее 125 л.», не предусмотренное позицией КТРУ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 При этом возражение на жалобу направляется в контрольный орган в сфере закупок не позднее рабочего дня, предшествующего дню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обосновал совокупность установления вышеуказанных противоречивых характеристик для поставляемого товара, которые могут привести к ограничению количества участников закупочной процедуры при формировании заявки на участие в аукционе.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об обоснованности довода жалобы и о нарушении Заказчиком положений п.1 ч.1, ч.2 ст.33, п.1 ч.2 ст.42 Закона о контрактной системе при формировании извещения,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Заявитель в жалобе указывает, что в нарушение Закона о контрактной системе Заказчиком в Техническом задании неправомерно установлены дополнительные требования к поставляемому товару, которые не предусмотрены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выбранной позицией каталога товаров, работ, услуг для обеспечения государственных и муниципальных нужд (далее — КТРУ), а именно КТРУ 28.94.22.110-00000008 «Стиральная машина профессиональная».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 утвержденных Постановлением Правительства Российской Федерации от 08.02.2017 № 145.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Правил формирования КТРУ указанные Правила определяют порядок формирования и ведения каталога товаров, работ, услуг для обеспечения государственных и муниципальных нужд, в том числе состав включаемой в него информации.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п.10 Правил формирования КТРУ.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  <w:rPr>
          <w:sz w:val="34"/>
          <w:szCs w:val="3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</w:t>
      </w:r>
      <w:r>
        <w:rPr>
          <w:smallCap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ктру;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№925 и признании утратившими силу некоторых актов Правительства Российской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Федерации»;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характеристики для поставляемого товара с обоснованием установления дополнительных характеристик: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1.8 «Барабан из нержавеющей стали с перфорацией. Обработка отверстий должна быть проведена методом, после которого не остаётся заусенцев, способствующих повреждению ткани»: не более 2,5 мм. Обоснование: «Если диаметр отверстий в барабане более 2,5 мм и отверстия не отполированы, то при высокоскоростном отжиме текстиль под действием центробежной силы затягивается внутрь отверстий, цепляется за заусенцы, трется о стенки нагревательных элементов и внешнего бака».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1.11 «Бак, барабан и узел крепления барабана из нержавеющей стали. Барабан и узел его крепления без сварных соединений для обеспечения длительной эксплуатации»: Наличие. Обоснование: «Агрессивные среды могут разрушать сварные части барабана. В местах сварки возникает коррозия, металл устает и разрушается».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1.18 «Наличие стандартных программ, включая «Мопы», «Термическая и термохимическая дезинфекция мопов», «Протирочные салфетки», «Термическая и термохимическая дезинфекция протирочных салфеток», «Пэды», «Самоочистка машины», «Гардины», «Новые мопы», «Хлопок/лен»: Наличие. Обоснование: «В связи со стиркой изделий разных по своему составу (хлопок, микрофибра, полиэстер, смесовое волокно, салфетки, махра) необходимы соответствующие программы, и нужны разные моющие и дезинфицирующие средства для обеспечения правильной обработки и долгого срока службы текстиля».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1.20 «Интерфейс для подключения к машине персонального компьютера оператора-диагноста»: Наличие. Обоснование: «С целью обеспечения возможности диагностики технического состояния оборудования без его разборки и вскрытия».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1.21 «Световой индикатор статуса выполнения программы»: Соответствие. Обоснование: «Для визуального предупреждения операторов о состоянии выполнения программы».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1.33 «Настраиваемые подключения холодной воды или горячей, В8Р британская трубная коническая резьба %»: Не менее 2 шт. Обоснование: «Коммуникации уже подготовлены под такое подключение. Подключение к горячей воде позволяет экономить энергию и сокращать время выполнения программы».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Комиссия Управления отмечает, что согласно КТРУ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28.94.22.110-00000008 «Стиральная машина профессиональная» установлены характеристики обязательные для применения: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Мощность: &lt; 2; &gt; 2 и &lt; 4; &gt; 4 и &lt; 6; &gt; 6 и &lt; 8; &gt; 8 и &lt; 10; &gt; 10 и &lt; 15; &gt; 15 и &lt; 20; &gt; 20 и &lt; 30; &gt; 30 и &lt; 40; &gt; 40 и &lt; 50; &gt; 50 и &lt; 60; &gt; 60 и &lt; 70; &gt; 70 и &lt; 80; &gt; 80 и &lt; 90; &gt; 90 и &lt; 100;&gt;100 (Киловатт).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«Номинальная (максимальная) загрузка белья»: &gt; 10 и &lt; 15 кг.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«Тип нагрева воды»: паровая, электрическая, электропаровая.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представителем Заявителя не представлено документов и сведений, свидетельствующих о нарушении Заказчиком положений Закона о контрактной системе при описании объекта закупки, а также о том, каким образом данное Заказчиком обоснование дополнительных характеристик к поставляемым товарам может привести к ограничению конкуренции участников данной закупочной процедуры.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указанный довод жалобы Заявителя не нашел своего подтверждения и является необоснованным.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Заявителем обжалуется неправомерное установление к поставляемому товару характеристики по п. 1.17 «Каждая программа обработки мопов или протирочных салфеток стандартно начинается с этапа предварительного отжима для удаления грязи и остатков моющего раствора или дезинфектанта, которым проводилась уборка», которое влечет за собой ограничение количества участников закупки и препятствуют формированию заявки на участие в аукционе, а также указывает на изделие единственного товара ЕР 2 003 236 В1, производителя «М1е1е &amp; С1е. КО» (Германия).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представителем Заказчика представлены инструкции производителей стиральных машин: Гадог 1.Л-14 ТР Е№; О87013 ОЕМИ8-Е(8); Р^М 514 Мор В1аг |^ ^V], которые, как утверждает представитель Заказчика, соответствуют Техническому заданию и, следовательно, характеристике, установленной в п. 1.17.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Комиссией Управления установлено, что инструкции для вышеуказанных стиральных машин не содержат характеристики «Каждая программа обработки мопов или протирочных салфеток стандартно начинается с этапа предварительного отжима для удаления грязи и остатков моющего раствора или дезинфектанта, которым проводилась уборка», то есть в инструкциях отсутствует указание на возможность предварительного отжима для удаления грязи.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Заказчиком на заседании Комиссии Управления не представлено документов и сведений, свидетельствующих о других товарах, иных производителей полностью соответствующих характеристикам технической части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признании данного довода жалобы обоснованным и о нарушении Заказчиком п.1 ч.1 ст.33 Закона о контрактной системе и содержат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Мосолов Д.С. на действия МНИОИ им. П.А. Герцена — филиал ФГБУ «НМИЦ радиологии» Минздрава России обоснованной в части противоречивых характеристик к поставляемому товару и характеристик, соответствующих единственному товару.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п.1 ч.1, ч.2 ст.33, п.1 ч.2 ст.42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2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12700</wp:posOffset>
                </wp:positionV>
                <wp:extent cx="1840865" cy="63119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631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149999999999999pt;margin-top:1.pt;width:144.95000000000002pt;height:49.700000000000003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А.А.Матюшенко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Мацнева М.О. тел.(495) 784-75-05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95" w:right="524" w:bottom="491" w:left="1097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475615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5000000000003pt;margin-top:37.45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