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3394075</wp:posOffset>
            </wp:positionH>
            <wp:positionV relativeFrom="paragraph">
              <wp:posOffset>12700</wp:posOffset>
            </wp:positionV>
            <wp:extent cx="762000" cy="82931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2000" cy="829310"/>
                    </a:xfrm>
                    <a:prstGeom prst="rect"/>
                  </pic:spPr>
                </pic:pic>
              </a:graphicData>
            </a:graphic>
          </wp:anchor>
        </w:drawing>
      </w:r>
    </w:p>
    <w:p>
      <w:pPr>
        <w:pStyle w:val="Style2"/>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жалобе № 066/06/106-1493/2023</w:t>
      </w:r>
    </w:p>
    <w:p>
      <w:pPr>
        <w:pStyle w:val="Style2"/>
        <w:keepNext w:val="0"/>
        <w:keepLines w:val="0"/>
        <w:widowControl w:val="0"/>
        <w:shd w:val="clear" w:color="auto" w:fill="auto"/>
        <w:tabs>
          <w:tab w:pos="8429" w:val="left"/>
        </w:tabs>
        <w:bidi w:val="0"/>
        <w:spacing w:before="0" w:after="240" w:line="240" w:lineRule="auto"/>
        <w:ind w:left="0" w:right="0" w:firstLine="0"/>
        <w:jc w:val="center"/>
      </w:pPr>
      <w:r>
        <w:rPr>
          <w:color w:val="000000"/>
          <w:spacing w:val="0"/>
          <w:w w:val="100"/>
          <w:position w:val="0"/>
          <w:shd w:val="clear" w:color="auto" w:fill="auto"/>
          <w:lang w:val="ru-RU" w:eastAsia="ru-RU" w:bidi="ru-RU"/>
        </w:rPr>
        <w:t>г. Екатеринбург</w:t>
        <w:tab/>
        <w:t>26.04.2023</w:t>
      </w:r>
    </w:p>
    <w:p>
      <w:pPr>
        <w:pStyle w:val="Style2"/>
        <w:keepNext w:val="0"/>
        <w:keepLines w:val="0"/>
        <w:widowControl w:val="0"/>
        <w:shd w:val="clear" w:color="auto" w:fill="auto"/>
        <w:bidi w:val="0"/>
        <w:spacing w:before="0" w:after="4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40" w:line="240" w:lineRule="auto"/>
        <w:ind w:left="0" w:right="0" w:firstLine="720"/>
        <w:jc w:val="both"/>
      </w:pP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11-30 при участии представителей:</w:t>
      </w:r>
    </w:p>
    <w:p>
      <w:pPr>
        <w:pStyle w:val="Style2"/>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в лице Муниципального казенного учреждения «Центр бухгалтерского и материально-технического обеспечения муниципальных образовательных учреждений» Новоуральского городского округа, *</w:t>
      </w:r>
    </w:p>
    <w:p>
      <w:pPr>
        <w:pStyle w:val="Style2"/>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заявителя в лице ООО «СИМ-ГЕО», уведомленного надлежащим образом о месте и времени рассмотрения жалобы,</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рассмотрев жалобу ООО «СИМ-ГЕО» (вх. № 8784-ЭП/23 от 21.04.2023) о нарушении заказчиком в лице Муниципального казенного учреждения «Центр бухгалтерского и материально</w:t>
        <w:softHyphen/>
        <w:t xml:space="preserve">технического обеспечения муниципальных образовательных учреждений» Новоуральского городского округа при осуществлении закупки путем проведения электронного аукциона на капитальный ремонт потолка фойе 1-го этажа МАУ ДО "ЦВР" (извещение № </w:t>
      </w:r>
      <w:r>
        <w:rPr>
          <w:b/>
          <w:bCs/>
          <w:color w:val="000000"/>
          <w:spacing w:val="0"/>
          <w:w w:val="100"/>
          <w:position w:val="0"/>
          <w:shd w:val="clear" w:color="auto" w:fill="auto"/>
          <w:lang w:val="ru-RU" w:eastAsia="ru-RU" w:bidi="ru-RU"/>
        </w:rPr>
        <w:t>0362300070923000022</w:t>
      </w:r>
      <w:r>
        <w:rPr>
          <w:color w:val="000000"/>
          <w:spacing w:val="0"/>
          <w:w w:val="100"/>
          <w:position w:val="0"/>
          <w:shd w:val="clear" w:color="auto" w:fill="auto"/>
          <w:lang w:val="ru-RU" w:eastAsia="ru-RU" w:bidi="ru-RU"/>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2"/>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Управление Федеральной антимонопольной службы по Свердловской области поступила жалоба ООО «СИМ-ГЕО» (вх. № 8784-ЭП/23 от 21.04.2023) о нарушении заказчиком в лице Муниципального казенного учреждения «Центр бухгалтерского и материально-технического обеспечения муниципальных образовательных учреждений» Новоуральского городского округа при осуществлении закупки путем проведения электронного аукциона на капитальный ремонт потолка фойе 1-го этажа МАУ ДО "ЦВР" (извещение № </w:t>
      </w:r>
      <w:r>
        <w:rPr>
          <w:b/>
          <w:bCs/>
          <w:color w:val="000000"/>
          <w:spacing w:val="0"/>
          <w:w w:val="100"/>
          <w:position w:val="0"/>
          <w:shd w:val="clear" w:color="auto" w:fill="auto"/>
          <w:lang w:val="ru-RU" w:eastAsia="ru-RU" w:bidi="ru-RU"/>
        </w:rPr>
        <w:t>0362300070923000022</w:t>
      </w:r>
      <w:r>
        <w:rPr>
          <w:color w:val="000000"/>
          <w:spacing w:val="0"/>
          <w:w w:val="100"/>
          <w:position w:val="0"/>
          <w:shd w:val="clear" w:color="auto" w:fill="auto"/>
          <w:lang w:val="ru-RU" w:eastAsia="ru-RU" w:bidi="ru-RU"/>
        </w:rPr>
        <w:t>) Закона о контрактной системе, соответствующая требованиям статьи 105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указывает, что при формировании извещения о проведении электронного аукциона заказчиком были допущены нарушения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первому доводу жалобы, установленный в извещении о проведении закупки предмет закупки не соответствует выполняемым работам в рамках закупки, что вводит в заблуждение участников закупки и приводит к ограничению конкуренции среди участников.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11.04.2023 на официальном сайте Единой информационной системы в сфере закупок в сети «Интернет» (11Нр://гакирк1.доу'.ги) (далее по тексту - единая информационная система) и на сайте электронной торговой площадки ООО «РТС-тендер» (Ийр://тетете.й84епйег.ш) опубликовано извещение о проведении электронного аукциона № 0362300070923000022 на капитальный ремонт потолка фойе 1 -го этажа МАУ ДО "ЦВР".</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составила 2 522 914,77 рублей.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w:t>
      </w:r>
      <w:r>
        <w:rPr>
          <w:color w:val="000000"/>
          <w:spacing w:val="0"/>
          <w:w w:val="100"/>
          <w:position w:val="0"/>
          <w:shd w:val="clear" w:color="auto" w:fill="auto"/>
          <w:lang w:val="ru-RU" w:eastAsia="ru-RU" w:bidi="ru-RU"/>
        </w:rPr>
        <w:t>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2"/>
        <w:keepNext w:val="0"/>
        <w:keepLines w:val="0"/>
        <w:widowControl w:val="0"/>
        <w:shd w:val="clear" w:color="auto" w:fill="auto"/>
        <w:tabs>
          <w:tab w:pos="14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w:t>
        <w:tab/>
        <w:t>описание объекта закупки в соответствии со статьей 33 настоящего Федерального</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8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Способом определения поставщика (подрядчика, исполнителя) указанной закупки, согласно структурированной форме извещения, является «электронный аукцион на проведение работ по строительству, реконструкции, кап. ремонту, сносу объекта кап. строительства в соответствии с п. 8 ч. 1 ст. 33 Закона № 44-ФЗ».</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извещение о проведении закупки содержит проектную документацию, что в соответствии с требованиями п. 8 ч. 1 ст. 33 Закона о контрактной системе является надлежащим описанием объекта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представитель заказчика пояснил, что наименование предмета закупки полностью соответствует закупаемым заказчиком работам, поскольку наименование объекта закупки — это краткое (общее) наименование всего основного объема выполняемых работ, которые включают в себя большой спектр иных (других) необходимых работ, без выполнения которых не будет достигнут необходимый результат закупаемых работ. Выполнение любых строительных работ подразумевает выполнение не только работ, указанных как наименование закупки, но иных смежных работ, без которых выполнение основного объема работ, по которому составлено наименование объекта закупки, является невозможным или нецелесообразным.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представитель заказчика ссылается на рабочую документацию и локальные сметные расчеты извещения о проведении закупки, которые содержат всю необходимую и полную информацию об объеме подлежащих выполнению работ и их видах.</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вышеуказанного, довод заявителя не находит своего подтверждения, в действиях заказчика Комиссия не усматривает нарушений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 втором доводе заявитель оспаривает неправомерное, по его мнению, включение в проект контракта цены, включая НДС, без установления вариативности «включая НДС/НДС не облагается».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5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5) проект контракта.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(ч. 1 ст. 34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2 ст. 34 Закона о контрактной системе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законом.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приведенных положений Закона о контрактной системе любой участник закупки, в том числе тот, который освобожден от уплаты НДС и применяет упрощенную систему налогообложения, вправе участвовать в закупке для обеспечения государственных и муниципальных нужд. Контракт по итогам процедур закупки заключается и оплачивается заказчиком по цене, предложенной участником закупки, с которым заключается контракт, вне зависимости от применяемой данным участником системы налогообложения.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установлено, что в п. 3.2 проекта контракта содержится следующее указание о цене контракта:</w:t>
      </w:r>
    </w:p>
    <w:p>
      <w:pPr>
        <w:pStyle w:val="Style2"/>
        <w:keepNext w:val="0"/>
        <w:keepLines w:val="0"/>
        <w:widowControl w:val="0"/>
        <w:shd w:val="clear" w:color="auto" w:fill="auto"/>
        <w:tabs>
          <w:tab w:pos="6620" w:val="left"/>
          <w:tab w:pos="7234"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«3.2. Цена Контракта составляет</w:t>
        <w:tab/>
        <w:t>(</w:t>
        <w:tab/>
        <w:t>) рублей</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копеек, в том числе НДС - 20 % (далее - «цена Контракта»)».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заказчиком не установлена в проекте контракта вариативность включения цены с НДС/без НДС.</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жалобы, указанное обстоятельство ставит в неравное положение лиц, находящихся на упрощенной системе налогообложения и не являющихся плательщиками НДС в силу закона.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соответствие с ч. 2 ст. 346.11 Налогового Кодекса РФ (далее — НК РФ) применение упрощенной системы налогообложения организациями предусматривает их освобождение от обязанности по уплате налога на прибыль организаций (за исключением налога, уплачиваемого с доходов, облагаемых по налоговым ставкам, предусмотренным пунктами 1.6, 3 и 4 статьи 284 настоящего Кодекса), налога на имущество организаций (за исключением налога, уплачиваемого в отношении объектов недвижимого имущества, налоговая база по которым определяется как их кадастровая стоимость в соответствии с настоящим Кодексом). </w:t>
      </w:r>
      <w:r>
        <w:rPr>
          <w:b/>
          <w:bCs/>
          <w:color w:val="000000"/>
          <w:spacing w:val="0"/>
          <w:w w:val="100"/>
          <w:position w:val="0"/>
          <w:shd w:val="clear" w:color="auto" w:fill="auto"/>
          <w:lang w:val="ru-RU" w:eastAsia="ru-RU" w:bidi="ru-RU"/>
        </w:rPr>
        <w:t>Организации, применяющие упрощенную систему налогообложения, не признаются налогоплательщиками налога на добавленную стоимость</w:t>
      </w:r>
      <w:r>
        <w:rPr>
          <w:color w:val="000000"/>
          <w:spacing w:val="0"/>
          <w:w w:val="100"/>
          <w:position w:val="0"/>
          <w:shd w:val="clear" w:color="auto" w:fill="auto"/>
          <w:lang w:val="ru-RU" w:eastAsia="ru-RU" w:bidi="ru-RU"/>
        </w:rPr>
        <w:t>, за исключением налога на добавленную стоимость, подлежащего уплате в соответствии с настоящим Кодексом при ввозе товаров на территорию Российской Федерации и иные территории, находящиеся под ее юрисдикцией (включая суммы налога,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 а также налога на добавленную стоимость, уплачиваемого в соответствии со статьями 161 и 174.1 настоящего Кодекса.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Исходя из положений ч.ч. 1, 2 ст. 34 Закона о контрактной системе следует, что любой участник закупки, </w:t>
      </w:r>
      <w:r>
        <w:rPr>
          <w:b/>
          <w:bCs/>
          <w:color w:val="000000"/>
          <w:spacing w:val="0"/>
          <w:w w:val="100"/>
          <w:position w:val="0"/>
          <w:shd w:val="clear" w:color="auto" w:fill="auto"/>
          <w:lang w:val="ru-RU" w:eastAsia="ru-RU" w:bidi="ru-RU"/>
        </w:rPr>
        <w:t>в том числе тот, который освобожден от уплаты НДС и применяет упрощенную систему налогообложения, вправе участвовать в закупке для обеспечения государственных и муниципальных нужд</w:t>
      </w:r>
      <w:r>
        <w:rPr>
          <w:color w:val="000000"/>
          <w:spacing w:val="0"/>
          <w:w w:val="100"/>
          <w:position w:val="0"/>
          <w:shd w:val="clear" w:color="auto" w:fill="auto"/>
          <w:lang w:val="ru-RU" w:eastAsia="ru-RU" w:bidi="ru-RU"/>
        </w:rPr>
        <w:t>. Контракт по итогам аукциона заключается и оплачивается заказчиком по цене, предложенной участником закупки, с которым заключается контракт, вне зависимости от применяемой данным участником системы налогообложения.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заключение муниципального контракта является основанием для возникновения гражданско-правовых отношений только между исполнителем и заказчиком путем наделения сторон взаимными правами и обязанностями.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Исходя из смысла ч. 1 ст. 2 НК РФ, под налоговыми отношениями понимаются властные отношения по установлению, введению и взиманию налогов, сборов, страховых взносов в Российской Федерации, а также отношения, возникающие в процессе осуществления налогового контроля, обжалования актов налоговых органов, действий (бездействия) их должностных лиц и привлечения к ответственности за совершение налогового правонарушения.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Иными словами, властные отношения складываются между государством в лице его органов и должностных лиц и налогоплательщиками в лице юридических и физических лиц.</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Принимая во внимание тот факт, что лица, использующие упрощенную систему налогообложения, не являются налогоплательщиками НДС, а также то обстоятельство, что </w:t>
      </w:r>
      <w:r>
        <w:rPr>
          <w:b/>
          <w:bCs/>
          <w:color w:val="000000"/>
          <w:spacing w:val="0"/>
          <w:w w:val="100"/>
          <w:position w:val="0"/>
          <w:shd w:val="clear" w:color="auto" w:fill="auto"/>
          <w:lang w:val="ru-RU" w:eastAsia="ru-RU" w:bidi="ru-RU"/>
        </w:rPr>
        <w:t>отношения между заказчиком и исполнителем — это не отношения власти и подчинения</w:t>
      </w:r>
      <w:r>
        <w:rPr>
          <w:color w:val="000000"/>
          <w:spacing w:val="0"/>
          <w:w w:val="100"/>
          <w:position w:val="0"/>
          <w:shd w:val="clear" w:color="auto" w:fill="auto"/>
          <w:lang w:val="ru-RU" w:eastAsia="ru-RU" w:bidi="ru-RU"/>
        </w:rPr>
        <w:t>, указание в проекте контракта цены, включающей НДС, не свидетельствует о нарушении прав участника закупки, поскольку не возлагает на участника закупки, применяющего упрощенную систему налогообложения, безусловной обязанности по исчислению и уплате НДС, поскольку вопросы взимания налогов либо вопросы освобождения от их уплаты регулируются за рамками заключаемого между заказчиком и исполнителем контракта.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указание заказчиком в проекте контракта цены, включающей НДС, не противоречит законодательству о контрактной системе и законодательству о налогах и сборах, и не может нарушать права лиц, применяющих упрощенную систему налогообложения.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вышеуказанного, довод заявителя не находит своего подтверждения, в действиях заказчика Комиссия не усматривает нарушений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третьего довода жалобы следует неправомерное, по мнению заявителя, установление заказчиком требования к обеспечению исполнения контракта.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 1 ст.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w:t>
      </w:r>
      <w:r>
        <w:rPr>
          <w:b/>
          <w:bCs/>
          <w:color w:val="000000"/>
          <w:spacing w:val="0"/>
          <w:w w:val="100"/>
          <w:position w:val="0"/>
          <w:shd w:val="clear" w:color="auto" w:fill="auto"/>
          <w:lang w:val="ru-RU" w:eastAsia="ru-RU" w:bidi="ru-RU"/>
        </w:rPr>
        <w:t xml:space="preserve">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документации о закупке </w:t>
      </w:r>
      <w:r>
        <w:rPr>
          <w:color w:val="000000"/>
          <w:spacing w:val="0"/>
          <w:w w:val="100"/>
          <w:position w:val="0"/>
          <w:shd w:val="clear" w:color="auto" w:fill="auto"/>
          <w:lang w:val="ru-RU" w:eastAsia="ru-RU" w:bidi="ru-RU"/>
        </w:rPr>
        <w:t>(в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не менее размера аванса (если контрактом предусмотрена выплата аванса).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 2 ст. 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w:t>
      </w:r>
      <w:r>
        <w:rPr>
          <w:b/>
          <w:bCs/>
          <w:color w:val="000000"/>
          <w:spacing w:val="0"/>
          <w:w w:val="100"/>
          <w:position w:val="0"/>
          <w:shd w:val="clear" w:color="auto" w:fill="auto"/>
          <w:lang w:val="ru-RU" w:eastAsia="ru-RU" w:bidi="ru-RU"/>
        </w:rPr>
        <w:t xml:space="preserve">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w:t>
      </w:r>
      <w:r>
        <w:rPr>
          <w:color w:val="000000"/>
          <w:spacing w:val="0"/>
          <w:w w:val="100"/>
          <w:position w:val="0"/>
          <w:shd w:val="clear" w:color="auto" w:fill="auto"/>
          <w:lang w:val="ru-RU" w:eastAsia="ru-RU" w:bidi="ru-RU"/>
        </w:rPr>
        <w:t>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 (ч. 3 ст. 37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случае проведения электронного конкурса, аукциона информация, предусмотренная частью 3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частью, недостоверной контракт с таким участником не заключается и он признается в соответствии </w:t>
      </w:r>
      <w:r>
        <w:rPr>
          <w:color w:val="000000"/>
          <w:spacing w:val="0"/>
          <w:w w:val="100"/>
          <w:position w:val="0"/>
          <w:shd w:val="clear" w:color="auto" w:fill="auto"/>
          <w:lang w:val="ru-RU" w:eastAsia="ru-RU" w:bidi="ru-RU"/>
        </w:rPr>
        <w:t>с настоящим Федеральным законом уклонившимся от заключения контракта (ч. 5 ст. 37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соответствии с положениями ст. 37 Закона о контрактной системе участник закупки, которым предложена цена контракта, которая на двадцать пять и более процентов ниже начальной (максимальной) цены контракта, должен предоставить:</w:t>
      </w:r>
    </w:p>
    <w:p>
      <w:pPr>
        <w:pStyle w:val="Style2"/>
        <w:keepNext w:val="0"/>
        <w:keepLines w:val="0"/>
        <w:widowControl w:val="0"/>
        <w:numPr>
          <w:ilvl w:val="0"/>
          <w:numId w:val="3"/>
        </w:numPr>
        <w:shd w:val="clear" w:color="auto" w:fill="auto"/>
        <w:tabs>
          <w:tab w:pos="9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либо обеспечение исполнения контракта в размере, превышающем в полтора раза размер обеспечения исполнения контракта, указанный в извещении об осуществлении закупки;</w:t>
      </w:r>
    </w:p>
    <w:p>
      <w:pPr>
        <w:pStyle w:val="Style2"/>
        <w:keepNext w:val="0"/>
        <w:keepLines w:val="0"/>
        <w:widowControl w:val="0"/>
        <w:numPr>
          <w:ilvl w:val="0"/>
          <w:numId w:val="3"/>
        </w:numPr>
        <w:shd w:val="clear" w:color="auto" w:fill="auto"/>
        <w:tabs>
          <w:tab w:pos="9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либо информацию, подтверждающую добросовестность участника закупки в соответствии с ч. 3 ст. 37 Закона о контрактной системе, </w:t>
      </w:r>
      <w:r>
        <w:rPr>
          <w:b/>
          <w:bCs/>
          <w:color w:val="000000"/>
          <w:spacing w:val="0"/>
          <w:w w:val="100"/>
          <w:position w:val="0"/>
          <w:shd w:val="clear" w:color="auto" w:fill="auto"/>
          <w:lang w:val="ru-RU" w:eastAsia="ru-RU" w:bidi="ru-RU"/>
        </w:rPr>
        <w:t xml:space="preserve">и </w:t>
      </w:r>
      <w:r>
        <w:rPr>
          <w:color w:val="000000"/>
          <w:spacing w:val="0"/>
          <w:w w:val="100"/>
          <w:position w:val="0"/>
          <w:shd w:val="clear" w:color="auto" w:fill="auto"/>
          <w:lang w:val="ru-RU" w:eastAsia="ru-RU" w:bidi="ru-RU"/>
        </w:rPr>
        <w:t>обеспечение исполнения контракта в размере обеспечения исполнения контракта, указанном в извещении об осуществлении закупки.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7.7 проекта контракта установлено, что </w:t>
      </w:r>
      <w:r>
        <w:rPr>
          <w:i/>
          <w:iCs/>
          <w:color w:val="000000"/>
          <w:spacing w:val="0"/>
          <w:w w:val="100"/>
          <w:position w:val="0"/>
          <w:shd w:val="clear" w:color="auto" w:fill="auto"/>
          <w:lang w:val="ru-RU" w:eastAsia="ru-RU" w:bidi="ru-RU"/>
        </w:rPr>
        <w:t>в случае, если Подрядчиком предложена цена Контракта, которая на 25%о и более процентов ниже начальной (максимальной) цены Контракта, Подрядчик предоставляет по своему выбору</w:t>
      </w:r>
    </w:p>
    <w:p>
      <w:pPr>
        <w:pStyle w:val="Style2"/>
        <w:keepNext w:val="0"/>
        <w:keepLines w:val="0"/>
        <w:widowControl w:val="0"/>
        <w:numPr>
          <w:ilvl w:val="0"/>
          <w:numId w:val="3"/>
        </w:numPr>
        <w:shd w:val="clear" w:color="auto" w:fill="auto"/>
        <w:tabs>
          <w:tab w:pos="1441" w:val="left"/>
          <w:tab w:pos="1609"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обеспечение исполнения Контракта в размере, превышающем в полтора раза размер</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обеспечения исполнения Контракта, указанный в извещении об осуществлении закупки</w:t>
      </w:r>
    </w:p>
    <w:p>
      <w:pPr>
        <w:pStyle w:val="Style2"/>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или</w:t>
      </w:r>
    </w:p>
    <w:p>
      <w:pPr>
        <w:pStyle w:val="Style2"/>
        <w:keepNext w:val="0"/>
        <w:keepLines w:val="0"/>
        <w:widowControl w:val="0"/>
        <w:numPr>
          <w:ilvl w:val="0"/>
          <w:numId w:val="3"/>
        </w:numPr>
        <w:shd w:val="clear" w:color="auto" w:fill="auto"/>
        <w:tabs>
          <w:tab w:pos="1441" w:val="left"/>
          <w:tab w:pos="1609"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информацию, подтверждающую добросовестность Подрядчика с одновременным</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предоставлением Подрядчиком обеспечения исполнения Контракта в размере обеспечения исполнения Контракта, указанном в извещении об осуществлении закупки в соответствии с ч. 2 ст. 37 Закона о контрактной системе (антидемпинговые меры).</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установление заказчиком требования к обеспечению исполнения контракта не является нарушением Закона о контрактной системе, ввиду чего довод заявителя не находит своего подтверждения.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четвертому доводу жалобы, заказчиком в проекте контракта установлены такие гарантийные сроки, которые, по мнению заявителя, не позволяют участнику закупки рассчитать срок гарантийных обязательств.</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1 ст. 96 Закона о контрактной системе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силу ч. 3 ст. 96 Закона о контрактной системе,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Pr>
          <w:b/>
          <w:bCs/>
          <w:color w:val="000000"/>
          <w:spacing w:val="0"/>
          <w:w w:val="100"/>
          <w:position w:val="0"/>
          <w:shd w:val="clear" w:color="auto" w:fill="auto"/>
          <w:lang w:val="ru-RU" w:eastAsia="ru-RU" w:bidi="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w:t>
      </w:r>
      <w:r>
        <w:rPr>
          <w:color w:val="000000"/>
          <w:spacing w:val="0"/>
          <w:w w:val="100"/>
          <w:position w:val="0"/>
          <w:shd w:val="clear" w:color="auto" w:fill="auto"/>
          <w:lang w:val="ru-RU" w:eastAsia="ru-RU" w:bidi="ru-RU"/>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 6.3 проекта контракта </w:t>
      </w:r>
      <w:r>
        <w:rPr>
          <w:i/>
          <w:iCs/>
          <w:color w:val="000000"/>
          <w:spacing w:val="0"/>
          <w:w w:val="100"/>
          <w:position w:val="0"/>
          <w:shd w:val="clear" w:color="auto" w:fill="auto"/>
          <w:lang w:val="ru-RU" w:eastAsia="ru-RU" w:bidi="ru-RU"/>
        </w:rPr>
        <w:t>гарантийный срок на результат Работ устанавливается с момента подписания Сторонами акта сдачи-приемки результата выполненных Работ и в течение последующих 2 лет.</w:t>
      </w:r>
    </w:p>
    <w:p>
      <w:pPr>
        <w:pStyle w:val="Style2"/>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При производстве кровельных и фасадных работ гарантийный срок составляет 5 лет с момента подписания обеими Сторонами акта сдачи-приемки выполненных Работ.</w:t>
      </w:r>
    </w:p>
    <w:p>
      <w:pPr>
        <w:pStyle w:val="Style2"/>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Гарантийный срок, принимаемый для земляного полотна и слоев основания дорожной одежды при капитальном ремонте и ремонте, составляет не менее 6 лет.</w:t>
      </w:r>
    </w:p>
    <w:p>
      <w:pPr>
        <w:pStyle w:val="Style2"/>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На материалы и оборудование, использованные Подрядчиком при производстве Работ, гарантийный срок определяется в соответствии со сроками заводов изготовителей или в течение срока действия расширенной гарантии, предоставленной Подрядчиком.</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7.14 проекта контракта установлено обеспечение исполнения гарантийных обязательств в размере 5 % от начальной (максимальной) цены Контракта: 126 145 рублей 74 копейки.</w:t>
      </w:r>
    </w:p>
    <w:p>
      <w:pPr>
        <w:pStyle w:val="Style2"/>
        <w:keepNext w:val="0"/>
        <w:keepLines w:val="0"/>
        <w:widowControl w:val="0"/>
        <w:shd w:val="clear" w:color="auto" w:fill="auto"/>
        <w:bidi w:val="0"/>
        <w:spacing w:before="0" w:after="0" w:line="240" w:lineRule="auto"/>
        <w:ind w:left="0" w:right="0" w:firstLine="740"/>
        <w:jc w:val="both"/>
        <w:sectPr>
          <w:headerReference w:type="default" r:id="rId7"/>
          <w:headerReference w:type="first" r:id="rId8"/>
          <w:footnotePr>
            <w:pos w:val="pageBottom"/>
            <w:numFmt w:val="decimal"/>
            <w:numRestart w:val="continuous"/>
          </w:footnotePr>
          <w:pgSz w:w="11900" w:h="16840"/>
          <w:pgMar w:top="1130" w:right="1096" w:bottom="1224" w:left="1090"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Таким образом, с учетом предоставленных в проекте контракта данных участнику закупки необходимо самостоятельно, согласно ч. 3 ст. 96 Закона о контрактной системе, определить срок гарантийных обязательств.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1 ст. 105 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 6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заявитель на заседание Комиссии не представил документов и информации, подтверждающих изложенную в жалобе позицию.</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pPr>
        <w:pStyle w:val="Style2"/>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ru-RU" w:eastAsia="ru-RU" w:bidi="ru-RU"/>
        </w:rPr>
        <w:t>Р Е Ш И Л А:</w:t>
      </w:r>
    </w:p>
    <w:p>
      <w:pPr>
        <w:pStyle w:val="Style2"/>
        <w:keepNext w:val="0"/>
        <w:keepLines w:val="0"/>
        <w:widowControl w:val="0"/>
        <w:numPr>
          <w:ilvl w:val="0"/>
          <w:numId w:val="5"/>
        </w:numPr>
        <w:shd w:val="clear" w:color="auto" w:fill="auto"/>
        <w:tabs>
          <w:tab w:pos="1406" w:val="left"/>
          <w:tab w:pos="14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Жалобу ООО «СИМ-ГЕО» признать необоснованной.</w:t>
      </w:r>
    </w:p>
    <w:p>
      <w:pPr>
        <w:pStyle w:val="Style2"/>
        <w:keepNext w:val="0"/>
        <w:keepLines w:val="0"/>
        <w:widowControl w:val="0"/>
        <w:numPr>
          <w:ilvl w:val="0"/>
          <w:numId w:val="5"/>
        </w:numPr>
        <w:shd w:val="clear" w:color="auto" w:fill="auto"/>
        <w:tabs>
          <w:tab w:pos="1412" w:val="left"/>
          <w:tab w:pos="14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действиях заказчика в лице Муниципального казенного учреждения «Центр</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бухгалтерского и материально-технического обеспечения муниципальных образовательных учреждений» Новоуральского городского округа, закупочной комиссии нарушений Закона о контрактной системе не выявлено.</w:t>
      </w:r>
    </w:p>
    <w:p>
      <w:pPr>
        <w:pStyle w:val="Style2"/>
        <w:keepNext w:val="0"/>
        <w:keepLines w:val="0"/>
        <w:widowControl w:val="0"/>
        <w:numPr>
          <w:ilvl w:val="0"/>
          <w:numId w:val="5"/>
        </w:numPr>
        <w:shd w:val="clear" w:color="auto" w:fill="auto"/>
        <w:tabs>
          <w:tab w:pos="1412" w:val="left"/>
          <w:tab w:pos="14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Заказчику в лице Муниципального казенного учреждения «Центр бухгалтерского и</w:t>
      </w:r>
    </w:p>
    <w:p>
      <w:pPr>
        <w:pStyle w:val="Style2"/>
        <w:keepNext w:val="0"/>
        <w:keepLines w:val="0"/>
        <w:widowControl w:val="0"/>
        <w:shd w:val="clear" w:color="auto" w:fill="auto"/>
        <w:bidi w:val="0"/>
        <w:spacing w:before="0" w:after="500" w:line="240" w:lineRule="auto"/>
        <w:ind w:left="0" w:right="0" w:firstLine="0"/>
        <w:jc w:val="both"/>
      </w:pPr>
      <w:r>
        <w:rPr>
          <w:color w:val="000000"/>
          <w:spacing w:val="0"/>
          <w:w w:val="100"/>
          <w:position w:val="0"/>
          <w:shd w:val="clear" w:color="auto" w:fill="auto"/>
          <w:lang w:val="ru-RU" w:eastAsia="ru-RU" w:bidi="ru-RU"/>
        </w:rPr>
        <w:t>материально-технического обеспечения муниципальных образовательных учреждений» Новоуральского городского округа, закупочной комиссии, оператору электронной площадки предписание об устранении нарушений законодательства о контрактной системе не выдавать.</w:t>
      </w:r>
    </w:p>
    <w:p>
      <w:pPr>
        <w:pStyle w:val="Style2"/>
        <w:keepNext w:val="0"/>
        <w:keepLines w:val="0"/>
        <w:widowControl w:val="0"/>
        <w:shd w:val="clear" w:color="auto" w:fill="auto"/>
        <w:bidi w:val="0"/>
        <w:spacing w:before="0" w:after="240" w:line="240" w:lineRule="auto"/>
        <w:ind w:left="0" w:right="0" w:firstLine="720"/>
        <w:jc w:val="both"/>
      </w:pPr>
      <w:r>
        <w:rPr>
          <w:i/>
          <w:iCs/>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r>
    </w:p>
    <w:sectPr>
      <w:headerReference w:type="default" r:id="rId9"/>
      <w:footerReference w:type="default" r:id="rId10"/>
      <w:footnotePr>
        <w:pos w:val="pageBottom"/>
        <w:numFmt w:val="decimal"/>
        <w:numRestart w:val="continuous"/>
      </w:footnotePr>
      <w:pgSz w:w="11900" w:h="16840"/>
      <w:pgMar w:top="1129" w:right="1100" w:bottom="5156"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6827520</wp:posOffset>
              </wp:positionH>
              <wp:positionV relativeFrom="page">
                <wp:posOffset>7419340</wp:posOffset>
              </wp:positionV>
              <wp:extent cx="45720" cy="57785"/>
              <wp:wrapNone/>
              <wp:docPr id="7" name="Shape 7"/>
              <a:graphic xmlns:a="http://schemas.openxmlformats.org/drawingml/2006/main">
                <a:graphicData uri="http://schemas.microsoft.com/office/word/2010/wordprocessingShape">
                  <wps:wsp>
                    <wps:cNvSpPr txBox="1"/>
                    <wps:spPr>
                      <a:xfrm>
                        <a:ext cx="45720" cy="5778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w:t>
                          </w:r>
                        </w:p>
                      </w:txbxContent>
                    </wps:txbx>
                    <wps:bodyPr wrap="none" lIns="0" tIns="0" rIns="0" bIns="0">
                      <a:spAutoFit/>
                    </wps:bodyPr>
                  </wps:wsp>
                </a:graphicData>
              </a:graphic>
            </wp:anchor>
          </w:drawing>
        </mc:Choice>
        <mc:Fallback>
          <w:pict>
            <v:shape id="_x0000_s1033" type="#_x0000_t202" style="position:absolute;margin-left:537.60000000000002pt;margin-top:584.20000000000005pt;width:3.6000000000000001pt;height:4.5499999999999998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3747770</wp:posOffset>
              </wp:positionH>
              <wp:positionV relativeFrom="page">
                <wp:posOffset>485775</wp:posOffset>
              </wp:positionV>
              <wp:extent cx="54610" cy="88265"/>
              <wp:wrapNone/>
              <wp:docPr id="3" name="Shape 3"/>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5.10000000000002pt;margin-top:38.25pt;width:4.2999999999999998pt;height:6.9500000000000002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3749040</wp:posOffset>
              </wp:positionH>
              <wp:positionV relativeFrom="page">
                <wp:posOffset>485140</wp:posOffset>
              </wp:positionV>
              <wp:extent cx="54610" cy="88265"/>
              <wp:wrapNone/>
              <wp:docPr id="5" name="Shape 5"/>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295.19999999999999pt;margin-top:38.200000000000003pt;width:4.2999999999999998pt;height:6.9500000000000002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s>
</file>

<file path=docProps/core.xml><?xml version="1.0" encoding="utf-8"?>
<cp:coreProperties xmlns:cp="http://schemas.openxmlformats.org/package/2006/metadata/core-properties" xmlns:dc="http://purl.org/dc/elements/1.1/">
  <dc:title/>
  <dc:subject/>
  <dc:creator>kireev</dc:creator>
  <cp:keywords/>
</cp:coreProperties>
</file>