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ИННВПНШ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22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Фсяераяьйом 4«тм.миноколыи»и </w:t>
      </w:r>
      <w:r>
        <w:rPr>
          <w:i/>
          <w:iCs/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службы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ио Хаюы-Мянкииекому иотойомиому окруп’ - Югре уи \й ра । 2" \ )иь \! !&gt;и ин. о *&gt; *1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 xml:space="preserve">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ик-Н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&lt;-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с-юн! чХ*' 1 ьф и &lt;. ш ир Ъ &gt; »-&gt;(«. гл</w:t>
        <w:br/>
        <w:t>!ИШ\(Ф н к| !)/(( Ф 1 о,?! Чф| О’П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dot" w:pos="322" w:val="left"/>
        </w:tabs>
        <w:bidi w:val="0"/>
        <w:spacing w:before="0" w:line="240" w:lineRule="auto"/>
        <w:ind w:left="0" w:right="0" w:firstLine="0"/>
        <w:jc w:val="right"/>
      </w:pPr>
      <w:r>
        <w:rPr>
          <w:i w:val="0"/>
          <w:iCs w:val="0"/>
          <w:smallCaps w:val="0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м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ОЗ/ЗаШ/ЗЗЗ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1142" w:val="left"/>
          <w:tab w:leader="dot" w:pos="2482" w:val="left"/>
        </w:tabs>
        <w:bidi w:val="0"/>
        <w:spacing w:before="0" w:after="36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На» </w:t>
        <w:tab/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ог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жалобе №4120/23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«ТЭК-Торг»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115191, г. Москва, Гамсоновский переулок, д.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1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стр. 2, 5-ый этаж, помещение 7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«Южно-Уральский центр снабжения» 456320, г. Миасс, ул. Богачева, дом 12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Ханты-Мансийского Автономного Округа — Югры «Нижне</w:t>
        <w:softHyphen/>
        <w:t>вартовская окружная клиническая детская больница»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628609, Ханты-Мансийский Автономный округ - Югра АО, г. Нижневартовск, ул.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8400" w:h="11900"/>
          <w:pgMar w:top="1047" w:right="1161" w:bottom="1716" w:left="998" w:header="0" w:footer="3" w:gutter="0"/>
          <w:pgNumType w:start="1"/>
          <w:cols w:num="2" w:space="720" w:equalWidth="0">
            <w:col w:w="2635" w:space="634"/>
            <w:col w:w="297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Северная, дом 30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8400" w:h="11900"/>
          <w:pgMar w:top="997" w:right="0" w:bottom="17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60" w:line="233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88900" distR="88900" simplePos="0" relativeHeight="125829378" behindDoc="0" locked="0" layoutInCell="1" allowOverlap="1">
                <wp:simplePos x="0" y="0"/>
                <wp:positionH relativeFrom="page">
                  <wp:posOffset>3745865</wp:posOffset>
                </wp:positionH>
                <wp:positionV relativeFrom="paragraph">
                  <wp:posOffset>12700</wp:posOffset>
                </wp:positionV>
                <wp:extent cx="826135" cy="12192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94.94999999999999pt;margin-top:1.pt;width:65.049999999999997pt;height:9.5999999999999996pt;z-index:-125829375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27.04.2023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03.05.2023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работ; услуг для обеспечения государственных и муниципальных нужд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8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Андрейцева Е.А. - Врио заместителя руководителя Управления;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3" w:val="left"/>
        </w:tabs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Сафонов С.И. - Специалист-эксперт отдела Управления;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3" w:val="left"/>
        </w:tabs>
        <w:bidi w:val="0"/>
        <w:spacing w:before="0" w:after="16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Мацола А. А. - Старший специалист 1 разряда отдела Управления,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отсутствовали, уведомлены надлежащим образом;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отсутствовали, уведомлены надлежащим образом,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27.04.2023 № 086/06/23-683/2023 о рассмотрении жалобы ООО «Южно-Уральский центр снабжения» (ИНН: 7415095267; ОГРН: 1167456109952) от 24.04.2023 № 4120/23, на действия Заказчика - Бюджетное учреждение Ханты-Мансийского Автономного Округа — Югры «Нижневартовская окружная клиническая детская больница», при проведении запроса котировок в электронной форме, предметом которого является поставка медицинского оборудования (извещение № 0387200007023000141) и в результате осуществления внеплановой проверки в соответствии с пунктом 1 части 15 статьи 99 Федерального закона от 05.04.2013 М 44-ФЗ "О контрактной системе в сфере закупок товаров, работ; услуг для обеспечения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111111111111111111111111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нужд" (далее - Закон о контрактной системе), Комиссия управления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Бюджетному учреждению Ханты-Мансийского Автономного Округа - Югры "Окружной центр информационно-коммуникационных технологий", Уполномоченному органу - Департаменту государственного заказа Ханты-Мансийского автономного округа - Югры совершить следующие действия: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92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составления в ходе проведения закупки, предметом которой является поставка медицинского оборудования (извещение № 0387200007023000141), внести изменение в извещение согласно принятому решению от 27.04.2023 № 086/06/23-683/2023, продолжить проведение закупки согласно потребности и действующему законодательству.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в срок до 17.05.2023 г.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7" w:val="left"/>
        </w:tabs>
        <w:bidi w:val="0"/>
        <w:spacing w:before="0" w:after="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18.05.2023 г.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(документы могут быть в электронном виде)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7" w:val="left"/>
        </w:tabs>
        <w:bidi w:val="0"/>
        <w:spacing w:before="0" w:after="52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Официальному сайту туту.хакцрктаоу.ги и оператору электронной площадки обеспечить исполнение Заказчиком пункта 1 настоящего предписания, оператору электронной площадки вернуть участникам закупки поступившие денежные средства в качестве обеспечения заявок на участие в закупке в электронной форме (при наличии).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045" w:val="left"/>
        </w:tabs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Андрейцева Е.А.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045" w:val="left"/>
        </w:tabs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Сафонов С.И.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4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Мацола А. 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а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type w:val="continuous"/>
      <w:pgSz w:w="8400" w:h="11900"/>
      <w:pgMar w:top="997" w:right="1087" w:bottom="1765" w:left="83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583565</wp:posOffset>
              </wp:positionH>
              <wp:positionV relativeFrom="page">
                <wp:posOffset>6499225</wp:posOffset>
              </wp:positionV>
              <wp:extent cx="411480" cy="698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48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2023-3272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5.950000000000003pt;margin-top:511.75pt;width:32.399999999999999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2023-3272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655320</wp:posOffset>
              </wp:positionH>
              <wp:positionV relativeFrom="page">
                <wp:posOffset>6367145</wp:posOffset>
              </wp:positionV>
              <wp:extent cx="41148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148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ru-RU" w:eastAsia="ru-RU" w:bidi="ru-RU"/>
                            </w:rPr>
                            <w:t>2023-3272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1.600000000000001pt;margin-top:501.35000000000002pt;width:32.399999999999999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ru-RU" w:eastAsia="ru-RU" w:bidi="ru-RU"/>
                      </w:rPr>
                      <w:t>2023-3272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10"/>
      <w:szCs w:val="1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Times New Roman" w:eastAsia="Times New Roman" w:hAnsi="Times New Roman" w:cs="Times New Roman"/>
      <w:b/>
      <w:bCs/>
      <w:i/>
      <w:iCs/>
      <w:smallCaps w:val="0"/>
      <w:strike w:val="0"/>
      <w:sz w:val="9"/>
      <w:szCs w:val="9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" w:line="271" w:lineRule="auto"/>
      <w:ind w:left="110" w:firstLine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  <w:spacing w:after="4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10"/>
      <w:szCs w:val="1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line="276" w:lineRule="auto"/>
      <w:ind w:firstLine="4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