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1784985</wp:posOffset>
            </wp:positionH>
            <wp:positionV relativeFrom="margin">
              <wp:posOffset>0</wp:posOffset>
            </wp:positionV>
            <wp:extent cx="511810" cy="60960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p>
    <w:p>
      <w:pPr>
        <w:widowControl w:val="0"/>
        <w:spacing w:after="594" w:line="1" w:lineRule="exact"/>
      </w:pPr>
    </w:p>
    <w:p>
      <w:pPr>
        <w:widowControl w:val="0"/>
        <w:spacing w:line="1" w:lineRule="exact"/>
        <w:sectPr>
          <w:footnotePr>
            <w:pos w:val="pageBottom"/>
            <w:numFmt w:val="decimal"/>
            <w:numRestart w:val="continuous"/>
          </w:footnotePr>
          <w:pgSz w:w="11900" w:h="16840"/>
          <w:pgMar w:top="298" w:right="1097" w:bottom="952" w:left="1107" w:header="0" w:footer="524" w:gutter="0"/>
          <w:pgNumType w:start="1"/>
          <w:cols w:space="720"/>
          <w:noEndnote/>
          <w:rtlGutter w:val="0"/>
          <w:docGrid w:linePitch="360"/>
        </w:sectPr>
      </w:pPr>
    </w:p>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2"/>
        <w:keepNext w:val="0"/>
        <w:keepLines w:val="0"/>
        <w:widowControl w:val="0"/>
        <w:shd w:val="clear" w:color="auto" w:fill="auto"/>
        <w:tabs>
          <w:tab w:leader="underscore" w:pos="1762" w:val="left"/>
          <w:tab w:leader="underscore" w:pos="3926" w:val="left"/>
        </w:tabs>
        <w:bidi w:val="0"/>
        <w:spacing w:before="0" w:line="240" w:lineRule="auto"/>
        <w:ind w:left="0" w:right="0" w:firstLine="0"/>
        <w:jc w:val="center"/>
      </w:pPr>
      <w:r>
        <w:rPr>
          <w:spacing w:val="0"/>
          <w:w w:val="100"/>
          <w:position w:val="0"/>
          <w:shd w:val="clear" w:color="auto" w:fill="auto"/>
          <w:lang w:val="ru-RU" w:eastAsia="ru-RU" w:bidi="ru-RU"/>
        </w:rPr>
        <w:tab/>
        <w:t xml:space="preserve"> №</w:t>
        <w:tab/>
      </w:r>
    </w:p>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xml:space="preserve">На№  от</w:t>
      </w:r>
    </w:p>
    <w:p>
      <w:pPr>
        <w:pStyle w:val="Style6"/>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ru-RU" w:eastAsia="ru-RU" w:bidi="ru-RU"/>
        </w:rPr>
        <w:t>НИИСФ РААСН</w:t>
      </w:r>
    </w:p>
    <w:p>
      <w:pPr>
        <w:pStyle w:val="Style6"/>
        <w:keepNext w:val="0"/>
        <w:keepLines w:val="0"/>
        <w:widowControl w:val="0"/>
        <w:shd w:val="clear" w:color="auto" w:fill="auto"/>
        <w:bidi w:val="0"/>
        <w:spacing w:before="0" w:after="240" w:line="240" w:lineRule="auto"/>
        <w:ind w:left="0" w:right="0" w:firstLine="0"/>
        <w:jc w:val="left"/>
      </w:pPr>
      <w:r>
        <w:fldChar w:fldCharType="begin"/>
      </w:r>
      <w:r>
        <w:rPr/>
        <w:instrText> HYPERLINK "mailto:serzhekniisf@ro.ru" </w:instrText>
      </w:r>
      <w:r>
        <w:fldChar w:fldCharType="separate"/>
      </w:r>
      <w:r>
        <w:rPr>
          <w:color w:val="000000"/>
          <w:spacing w:val="0"/>
          <w:w w:val="100"/>
          <w:position w:val="0"/>
          <w:shd w:val="clear" w:color="auto" w:fill="auto"/>
          <w:lang w:val="ru-RU" w:eastAsia="ru-RU" w:bidi="ru-RU"/>
        </w:rPr>
        <w:t>8еггЪекпп8Г@го.ги</w:t>
      </w:r>
      <w:r>
        <w:fldChar w:fldCharType="end"/>
      </w:r>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«Инжиниринговая компания</w:t>
      </w:r>
    </w:p>
    <w:p>
      <w:pPr>
        <w:pStyle w:val="Style6"/>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ru-RU" w:eastAsia="ru-RU" w:bidi="ru-RU"/>
        </w:rPr>
        <w:t>Гелиос»</w:t>
      </w:r>
    </w:p>
    <w:p>
      <w:pPr>
        <w:pStyle w:val="Style6"/>
        <w:keepNext w:val="0"/>
        <w:keepLines w:val="0"/>
        <w:widowControl w:val="0"/>
        <w:shd w:val="clear" w:color="auto" w:fill="auto"/>
        <w:bidi w:val="0"/>
        <w:spacing w:before="0" w:after="240" w:line="240" w:lineRule="auto"/>
        <w:ind w:left="0" w:right="0" w:firstLine="0"/>
        <w:jc w:val="left"/>
      </w:pPr>
      <w:r>
        <w:fldChar w:fldCharType="begin"/>
      </w:r>
      <w:r>
        <w:rPr/>
        <w:instrText> HYPERLINK "mailto:swanleba@gmail.com" </w:instrText>
      </w:r>
      <w:r>
        <w:fldChar w:fldCharType="separate"/>
      </w:r>
      <w:r>
        <w:rPr>
          <w:color w:val="000000"/>
          <w:spacing w:val="0"/>
          <w:w w:val="100"/>
          <w:position w:val="0"/>
          <w:shd w:val="clear" w:color="auto" w:fill="auto"/>
          <w:lang w:val="ru-RU" w:eastAsia="ru-RU" w:bidi="ru-RU"/>
        </w:rPr>
        <w:t>8мап1еЬа@дта|1.сот</w:t>
      </w:r>
      <w:r>
        <w:fldChar w:fldCharType="end"/>
      </w:r>
    </w:p>
    <w:p>
      <w:pPr>
        <w:pStyle w:val="Style6"/>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ru-RU" w:eastAsia="ru-RU" w:bidi="ru-RU"/>
        </w:rPr>
        <w:t>АО «ЕЭТП»</w:t>
      </w:r>
    </w:p>
    <w:p>
      <w:pPr>
        <w:pStyle w:val="Style6"/>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298" w:right="1922" w:bottom="952" w:left="1140" w:header="0" w:footer="3" w:gutter="0"/>
          <w:cols w:num="2" w:space="552"/>
          <w:noEndnote/>
          <w:rtlGutter w:val="0"/>
          <w:docGrid w:linePitch="360"/>
        </w:sectPr>
      </w:pPr>
      <w:r>
        <w:rPr>
          <w:color w:val="000000"/>
          <w:spacing w:val="0"/>
          <w:w w:val="100"/>
          <w:position w:val="0"/>
          <w:shd w:val="clear" w:color="auto" w:fill="auto"/>
          <w:lang w:val="ru-RU" w:eastAsia="ru-RU" w:bidi="ru-RU"/>
        </w:rPr>
        <w:t>ко@го8екогд.гн</w:t>
      </w:r>
    </w:p>
    <w:p>
      <w:pPr>
        <w:widowControl w:val="0"/>
        <w:spacing w:line="240" w:lineRule="exact"/>
        <w:rPr>
          <w:sz w:val="19"/>
          <w:szCs w:val="19"/>
        </w:rPr>
      </w:pPr>
    </w:p>
    <w:p>
      <w:pPr>
        <w:widowControl w:val="0"/>
        <w:spacing w:before="103" w:after="10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05" w:right="0" w:bottom="953" w:left="0" w:header="0" w:footer="3" w:gutter="0"/>
          <w:cols w:space="720"/>
          <w:noEndnote/>
          <w:rtlGutter w:val="0"/>
          <w:docGrid w:linePitch="360"/>
        </w:sectPr>
      </w:pPr>
    </w:p>
    <w:p>
      <w:pPr>
        <w:pStyle w:val="Style8"/>
        <w:keepNext/>
        <w:keepLines/>
        <w:widowControl w:val="0"/>
        <w:shd w:val="clear" w:color="auto" w:fill="auto"/>
        <w:bidi w:val="0"/>
        <w:spacing w:before="0" w:after="0" w:line="240" w:lineRule="auto"/>
        <w:ind w:left="0" w:right="0" w:firstLine="0"/>
        <w:jc w:val="center"/>
      </w:pPr>
      <w:bookmarkStart w:id="0" w:name="bookmark0"/>
      <w:r>
        <w:rPr>
          <w:color w:val="000000"/>
          <w:spacing w:val="0"/>
          <w:w w:val="100"/>
          <w:position w:val="0"/>
          <w:shd w:val="clear" w:color="auto" w:fill="auto"/>
          <w:lang w:val="ru-RU" w:eastAsia="ru-RU" w:bidi="ru-RU"/>
        </w:rPr>
        <w:t>РЕШЕНИЕ</w:t>
      </w:r>
      <w:bookmarkEnd w:id="0"/>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077/06/106-26488-ЭП/23/2023 о нарушении</w:t>
        <w:br/>
        <w:t>законодательства о контрактной системе</w:t>
      </w:r>
    </w:p>
    <w:p>
      <w:pPr>
        <w:pStyle w:val="Style6"/>
        <w:keepNext w:val="0"/>
        <w:keepLines w:val="0"/>
        <w:widowControl w:val="0"/>
        <w:shd w:val="clear" w:color="auto" w:fill="auto"/>
        <w:tabs>
          <w:tab w:pos="8400" w:val="left"/>
        </w:tabs>
        <w:bidi w:val="0"/>
        <w:spacing w:before="0" w:after="0" w:line="240" w:lineRule="auto"/>
        <w:ind w:left="0" w:right="0" w:firstLine="0"/>
        <w:jc w:val="both"/>
      </w:pPr>
      <w:r>
        <w:rPr>
          <w:b/>
          <w:bCs/>
          <w:color w:val="000000"/>
          <w:spacing w:val="0"/>
          <w:w w:val="100"/>
          <w:position w:val="0"/>
          <w:shd w:val="clear" w:color="auto" w:fill="auto"/>
          <w:lang w:val="ru-RU" w:eastAsia="ru-RU" w:bidi="ru-RU"/>
        </w:rPr>
        <w:t>27.04.2023</w:t>
        <w:tab/>
        <w:t>г. Москва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С.И. Казарина,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Членов Комиссии: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М.О. Мацневой,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Специалиста 1 разряда отдела обжалования государственных закупок И.И. Фурсикова,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2019-пСоУ,</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участии представителей: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НИИСФ РААСН: О.В. Невельского (по доверенности № б/н от 24.04.2023), С.Г. Воробева (по доверенности № б/н от 24.04.2023).</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ООО «Инжиниринговая компания Гелиос»: В.А. Моисеева (по доверенности № 1/Д от 13.04.2023),</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рассмотрев жалобу ООО «Инжиниринговая компания Гелиос» (далее — Заявитель) на действия ФГБУ НИИСФ РААСН (далее — Заказчик) при проведении электронного аукциона на право заключения государственного контракта на поставку машины испытательной универсальной гидравлической УИМ-100-1-5-0,5-0,5-0,5 или эквивалента (Закупка № 0373100038423000001) (далее - аукцион), в соответствии с Федеральным законом от 05.04.2013 №44-</w:t>
      </w:r>
    </w:p>
    <w:p>
      <w:pPr>
        <w:pStyle w:val="Style6"/>
        <w:keepNext w:val="0"/>
        <w:keepLines w:val="0"/>
        <w:widowControl w:val="0"/>
        <w:shd w:val="clear" w:color="auto" w:fill="auto"/>
        <w:bidi w:val="0"/>
        <w:spacing w:before="0" w:after="280" w:line="240" w:lineRule="auto"/>
        <w:ind w:left="0" w:right="0" w:firstLine="0"/>
        <w:jc w:val="both"/>
      </w:pPr>
      <w:r>
        <w:rPr>
          <w:color w:val="000000"/>
          <w:spacing w:val="0"/>
          <w:w w:val="100"/>
          <w:position w:val="0"/>
          <w:shd w:val="clear" w:color="auto" w:fill="auto"/>
          <w:lang w:val="ru-RU" w:eastAsia="ru-RU" w:bidi="ru-RU"/>
        </w:rPr>
        <w:t>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6"/>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аукциона.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Заявитель обжалует действия Заказчика, выразившиеся в утверждении аукционной документации в нарушение норм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запрашиваемые письмом Московского УФАС России №ЕИ/18137/23 от 25.04.2023, Комиссия Управления установила следующее.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1. Заявитель в своей жалобе указывает на неправомерные требования к составу заявки на участие в электронном аукционе.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п.3 ч.2 ст.42 Закона о контрактной системе извещение об осуществлении закупки, если иное не предусмотрено настоящим Федеральным законом, должно содержать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пп.«в» п.2 ч.1 ст.43 Закона о контрактной системе заявка на участие в закупке должна содержать предложение участника закупки в отношении объекта закупки, в том числе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Законом о контрактной системе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в пп.3 п.24 (Предложения участника закупки в отношении объекта закупки) Главы VI (Информационная карта электронного аукциона), размещенной Заказчиком документации об электронном аукционе, отражены требования, предусмотренные пп.«в» п.2 ч.1 ст.43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этом в п. 10 Технического задания установлено следующее: «Средства измерения испытательной машины должны обеспечивать регистрацию перемещения штока гидроцилиндра и фактической нагрузки. При этом датчик силы должен быть установлен с противоположной стороны от датчика перемещений.</w:t>
      </w:r>
    </w:p>
    <w:p>
      <w:pPr>
        <w:pStyle w:val="Style6"/>
        <w:keepNext w:val="0"/>
        <w:keepLines w:val="0"/>
        <w:widowControl w:val="0"/>
        <w:shd w:val="clear" w:color="auto" w:fill="auto"/>
        <w:bidi w:val="0"/>
        <w:spacing w:before="0" w:after="280" w:line="240" w:lineRule="auto"/>
        <w:ind w:left="0" w:right="0" w:firstLine="700"/>
        <w:jc w:val="both"/>
      </w:pPr>
      <w:r>
        <w:rPr>
          <w:color w:val="000000"/>
          <w:spacing w:val="0"/>
          <w:w w:val="100"/>
          <w:position w:val="0"/>
          <w:shd w:val="clear" w:color="auto" w:fill="auto"/>
          <w:lang w:val="ru-RU" w:eastAsia="ru-RU" w:bidi="ru-RU"/>
        </w:rPr>
        <w:t>Датчики перемещения и силы должны быть устойчивы к вибрации и обеспечивать измерения при динамических испытаниях с заданной точностью.</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Погрешность измерения нагрузки должна составлять не более 0,5%.</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Пределы допускаемой абсолютной погрешности измерений перемещения в диапазоне до 2 мм: не более ±0,005 мм; (</w:t>
      </w:r>
      <w:r>
        <w:rPr>
          <w:i/>
          <w:iCs/>
          <w:color w:val="000000"/>
          <w:spacing w:val="0"/>
          <w:w w:val="100"/>
          <w:position w:val="0"/>
          <w:u w:val="single"/>
          <w:shd w:val="clear" w:color="auto" w:fill="auto"/>
          <w:lang w:val="ru-RU" w:eastAsia="ru-RU" w:bidi="ru-RU"/>
        </w:rPr>
        <w:t>Характеристика должна быть подтверждена действующим описанием типа СИ)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Пределы допускаемой относительной погрешности измерений перемещения в диапазоне свыше 2 мм: не более ±0,5%. </w:t>
      </w:r>
      <w:r>
        <w:rPr>
          <w:i/>
          <w:iCs/>
          <w:color w:val="000000"/>
          <w:spacing w:val="0"/>
          <w:w w:val="100"/>
          <w:position w:val="0"/>
          <w:u w:val="single"/>
          <w:shd w:val="clear" w:color="auto" w:fill="auto"/>
          <w:lang w:val="ru-RU" w:eastAsia="ru-RU" w:bidi="ru-RU"/>
        </w:rPr>
        <w:t>(Характеристика должна быть подтверждена действующим описанием типа СИ)».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Заявителя пояснил, что исходя из требований, опубликованных в извещении, к предложению участника закупки в заявке в обязательном порядке должны быть приложены документы, подтверждающие метрологические характеристики (Описание средств СИ), что противоречит требованиям, установленным в аукционной документации.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Вместе с тем Комиссия Управления отмечает, из положений пп.3 п.24 (Предложения участника закупки в отношении объекта закупки) Главы VI (Информационная карта электронного аукциона) не следует, что в составе заявки должны быть приложены документы, подтверждающие метрологические характеристики, равно как и не следует это из положений п. 10 Технического задания.</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что довод жалобы Заявителя не нашел своего подтверждения и является необоснованным.</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Вместе с тем Заявитель в своей жалобе указывает на то, что Заказчиком даны разъяснения положений извещения об осуществления закупки, согласно которым метрологические характеристики должны быть подтверждены единым описанием типа на испытательную машину, действующим на момент подачи предложения в соответствии с техническим заданием, при этом предложения без подтверждения метрологических характеристик к рассмотрению не принимаются.</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Заказчик путем дачи разъяснений положений извещения дополнительно указывает на необходимость включения в заявку вышеуказанного подтверждения.</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Согласно ч.5 ст.42 Закона о контрактной системе 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дней со дня, следующего за днем поступления заказчику запроса о даче разъяснения положений извещения об осуществлении закупки, </w:t>
      </w:r>
      <w:r>
        <w:rPr>
          <w:color w:val="000000"/>
          <w:spacing w:val="0"/>
          <w:w w:val="100"/>
          <w:position w:val="0"/>
          <w:shd w:val="clear" w:color="auto" w:fill="auto"/>
          <w:lang w:val="ru-RU" w:eastAsia="ru-RU" w:bidi="ru-RU"/>
        </w:rPr>
        <w:t>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 которого поступил такой запрос. Такие разъяснения не должны изменять суть извещения об осуществлении закупки.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Управления отмечает, что данные Заказчиком разъяснения положений извещения об осуществлении закупки от 20.04.2023 №РИ1 противоречат пп. 3 и 7 п.24 (Предложения участника закупки в отношении объекта закупки) Главы VI (Информационная карта электронного аукциона) и не отвечают требованиям ч.5 ст.42 Закона о контрактной системе, поскольку разъяснения изменяют суть извещения, не содержащего конкретного требования о предоставлении в составе заявки подтверждения метрологических характеристик.</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о нарушении Заказчиком положений ч.5 ст.42 Закона о контрактной системе, что содержит признаки состава административного правонарушения, ответственность за которое предусмотрена ч.1.4 ст.7.30 Кодекса Российской Федерации об административных правонарушениях.</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Вместе с тем на заседании Комиссии Управления установлено, что Заказчиком 21.04.2023 на официальном сайте Единой информационной системы опубликовано извещение об отмене определения поставщика (подрядчика, исполнителя) от 21.04.2023 №ИО1.</w:t>
      </w:r>
    </w:p>
    <w:p>
      <w:pPr>
        <w:pStyle w:val="Style6"/>
        <w:keepNext w:val="0"/>
        <w:keepLines w:val="0"/>
        <w:widowControl w:val="0"/>
        <w:shd w:val="clear" w:color="auto" w:fill="auto"/>
        <w:bidi w:val="0"/>
        <w:spacing w:before="0" w:after="0" w:line="240" w:lineRule="auto"/>
        <w:ind w:left="0" w:right="0" w:firstLine="700"/>
        <w:jc w:val="both"/>
        <w:sectPr>
          <w:footnotePr>
            <w:pos w:val="pageBottom"/>
            <w:numFmt w:val="decimal"/>
            <w:numRestart w:val="continuous"/>
          </w:footnotePr>
          <w:type w:val="continuous"/>
          <w:pgSz w:w="11900" w:h="16840"/>
          <w:pgMar w:top="1105" w:right="1097" w:bottom="953" w:left="1101" w:header="0" w:footer="525" w:gutter="0"/>
          <w:cols w:space="720"/>
          <w:noEndnote/>
          <w:rtlGutter w:val="0"/>
          <w:docGrid w:linePitch="360"/>
        </w:sectPr>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6"/>
        <w:keepNext w:val="0"/>
        <w:keepLines w:val="0"/>
        <w:widowControl w:val="0"/>
        <w:numPr>
          <w:ilvl w:val="0"/>
          <w:numId w:val="1"/>
        </w:numPr>
        <w:shd w:val="clear" w:color="auto" w:fill="auto"/>
        <w:tabs>
          <w:tab w:pos="111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жалобу ООО «Инжиниринговая компания Гелиос» на действия НИИСФ РААСН обоснованной в части дачи противоречивых разъяснений положений аукционной документации.</w:t>
      </w:r>
    </w:p>
    <w:p>
      <w:pPr>
        <w:pStyle w:val="Style6"/>
        <w:keepNext w:val="0"/>
        <w:keepLines w:val="0"/>
        <w:widowControl w:val="0"/>
        <w:numPr>
          <w:ilvl w:val="0"/>
          <w:numId w:val="1"/>
        </w:numPr>
        <w:shd w:val="clear" w:color="auto" w:fill="auto"/>
        <w:tabs>
          <w:tab w:pos="111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в действиях Заказчика нарушение ч.5 ст.42 Закона о контрактной системе.</w:t>
      </w:r>
    </w:p>
    <w:p>
      <w:pPr>
        <w:pStyle w:val="Style6"/>
        <w:keepNext w:val="0"/>
        <w:keepLines w:val="0"/>
        <w:widowControl w:val="0"/>
        <w:numPr>
          <w:ilvl w:val="0"/>
          <w:numId w:val="1"/>
        </w:numPr>
        <w:shd w:val="clear" w:color="auto" w:fill="auto"/>
        <w:tabs>
          <w:tab w:pos="111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Обязательное для исполнения предписание об устранении нарушений законодательства о контрактной системе Заказчику не выдавать, поскольку Заказчиком 21.04.2023 закупочная процедура отменена.</w:t>
      </w:r>
    </w:p>
    <w:p>
      <w:pPr>
        <w:pStyle w:val="Style6"/>
        <w:keepNext w:val="0"/>
        <w:keepLines w:val="0"/>
        <w:widowControl w:val="0"/>
        <w:numPr>
          <w:ilvl w:val="0"/>
          <w:numId w:val="1"/>
        </w:numPr>
        <w:shd w:val="clear" w:color="auto" w:fill="auto"/>
        <w:tabs>
          <w:tab w:pos="1114" w:val="left"/>
        </w:tabs>
        <w:bidi w:val="0"/>
        <w:spacing w:before="0" w:after="280" w:line="240" w:lineRule="auto"/>
        <w:ind w:left="0" w:right="0" w:firstLine="700"/>
        <w:jc w:val="both"/>
      </w:pPr>
      <w:r>
        <w:rPr>
          <w:color w:val="000000"/>
          <w:spacing w:val="0"/>
          <w:w w:val="100"/>
          <w:position w:val="0"/>
          <w:shd w:val="clear" w:color="auto" w:fill="auto"/>
          <w:lang w:val="ru-RU" w:eastAsia="ru-RU" w:bidi="ru-RU"/>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280" w:line="240" w:lineRule="auto"/>
        <w:ind w:left="0" w:right="0" w:firstLine="7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6"/>
        <w:keepNext w:val="0"/>
        <w:keepLines w:val="0"/>
        <w:widowControl w:val="0"/>
        <w:shd w:val="clear" w:color="auto" w:fill="auto"/>
        <w:tabs>
          <w:tab w:pos="7886" w:val="left"/>
        </w:tabs>
        <w:bidi w:val="0"/>
        <w:spacing w:before="0" w:after="280" w:line="240" w:lineRule="auto"/>
        <w:ind w:left="0" w:right="0" w:firstLine="0"/>
        <w:jc w:val="both"/>
      </w:pPr>
      <w:r>
        <w:rPr>
          <w:color w:val="000000"/>
          <w:spacing w:val="0"/>
          <w:w w:val="100"/>
          <w:position w:val="0"/>
          <w:shd w:val="clear" w:color="auto" w:fill="auto"/>
          <w:lang w:val="ru-RU" w:eastAsia="ru-RU" w:bidi="ru-RU"/>
        </w:rPr>
        <w:t>Председательствующий</w:t>
        <w:tab/>
        <w:t>С.И.Казарин</w:t>
      </w:r>
    </w:p>
    <w:p>
      <w:pPr>
        <w:pStyle w:val="Style6"/>
        <w:keepNext w:val="0"/>
        <w:keepLines w:val="0"/>
        <w:widowControl w:val="0"/>
        <w:shd w:val="clear" w:color="auto" w:fill="auto"/>
        <w:tabs>
          <w:tab w:pos="7886" w:val="left"/>
        </w:tabs>
        <w:bidi w:val="0"/>
        <w:spacing w:before="0" w:after="280" w:line="240" w:lineRule="auto"/>
        <w:ind w:left="0" w:right="0" w:firstLine="0"/>
        <w:jc w:val="both"/>
      </w:pPr>
      <w:r>
        <w:rPr>
          <w:color w:val="000000"/>
          <w:spacing w:val="0"/>
          <w:w w:val="100"/>
          <w:position w:val="0"/>
          <w:shd w:val="clear" w:color="auto" w:fill="auto"/>
          <w:lang w:val="ru-RU" w:eastAsia="ru-RU" w:bidi="ru-RU"/>
        </w:rPr>
        <w:t>Члены Комиссии</w:t>
        <w:tab/>
        <w:t>М.О.Мацнева</w:t>
      </w:r>
    </w:p>
    <w:p>
      <w:pPr>
        <w:pStyle w:val="Style6"/>
        <w:keepNext w:val="0"/>
        <w:keepLines w:val="0"/>
        <w:widowControl w:val="0"/>
        <w:shd w:val="clear" w:color="auto" w:fill="auto"/>
        <w:bidi w:val="0"/>
        <w:spacing w:before="0" w:after="5840" w:line="240" w:lineRule="auto"/>
        <w:ind w:left="0" w:right="0" w:firstLine="0"/>
        <w:jc w:val="right"/>
      </w:pPr>
      <w:r>
        <w:rPr>
          <w:color w:val="000000"/>
          <w:spacing w:val="0"/>
          <w:w w:val="100"/>
          <w:position w:val="0"/>
          <w:shd w:val="clear" w:color="auto" w:fill="auto"/>
          <w:lang w:val="ru-RU" w:eastAsia="ru-RU" w:bidi="ru-RU"/>
        </w:rPr>
        <w:t>И.И.Фурсиков</w:t>
      </w:r>
    </w:p>
    <w:p>
      <w:pPr>
        <w:pStyle w:val="Style2"/>
        <w:keepNext w:val="0"/>
        <w:keepLines w:val="0"/>
        <w:widowControl w:val="0"/>
        <w:shd w:val="clear" w:color="auto" w:fill="auto"/>
        <w:bidi w:val="0"/>
        <w:spacing w:before="0" w:after="280" w:line="240" w:lineRule="auto"/>
        <w:ind w:left="0" w:right="0" w:firstLine="0"/>
        <w:jc w:val="both"/>
      </w:pPr>
      <w:r>
        <w:rPr>
          <w:color w:val="000000"/>
          <w:spacing w:val="0"/>
          <w:w w:val="100"/>
          <w:position w:val="0"/>
          <w:shd w:val="clear" w:color="auto" w:fill="auto"/>
          <w:lang w:val="ru-RU" w:eastAsia="ru-RU" w:bidi="ru-RU"/>
        </w:rPr>
        <w:t>Исп. Фурсиков И.И. 8 (495)784-75-05</w:t>
      </w:r>
    </w:p>
    <w:sectPr>
      <w:footnotePr>
        <w:pos w:val="pageBottom"/>
        <w:numFmt w:val="decimal"/>
        <w:numRestart w:val="continuous"/>
      </w:footnotePr>
      <w:pgSz w:w="11900" w:h="16840"/>
      <w:pgMar w:top="1422" w:right="1097" w:bottom="1422" w:left="1107" w:header="0" w:footer="994"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25FA6"/>
      <w:sz w:val="19"/>
      <w:szCs w:val="19"/>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9">
    <w:name w:val="Заголовок №1_"/>
    <w:basedOn w:val="DefaultParagraphFont"/>
    <w:link w:val="Style8"/>
    <w:rPr>
      <w:rFonts w:ascii="Times New Roman" w:eastAsia="Times New Roman" w:hAnsi="Times New Roman" w:cs="Times New Roman"/>
      <w:b/>
      <w:bCs/>
      <w:i w:val="0"/>
      <w:iCs w:val="0"/>
      <w:smallCaps w:val="0"/>
      <w:strike w:val="0"/>
      <w:sz w:val="28"/>
      <w:szCs w:val="28"/>
      <w:u w:val="none"/>
    </w:rPr>
  </w:style>
  <w:style w:type="paragraph" w:customStyle="1" w:styleId="Style2">
    <w:name w:val="Основной текст (2)"/>
    <w:basedOn w:val="Normal"/>
    <w:link w:val="CharStyle3"/>
    <w:pPr>
      <w:widowControl w:val="0"/>
      <w:shd w:val="clear" w:color="auto" w:fill="auto"/>
      <w:spacing w:after="260"/>
      <w:jc w:val="center"/>
    </w:pPr>
    <w:rPr>
      <w:rFonts w:ascii="Times New Roman" w:eastAsia="Times New Roman" w:hAnsi="Times New Roman" w:cs="Times New Roman"/>
      <w:b w:val="0"/>
      <w:bCs w:val="0"/>
      <w:i w:val="0"/>
      <w:iCs w:val="0"/>
      <w:smallCaps w:val="0"/>
      <w:strike w:val="0"/>
      <w:color w:val="425FA6"/>
      <w:sz w:val="19"/>
      <w:szCs w:val="19"/>
      <w:u w:val="none"/>
    </w:rPr>
  </w:style>
  <w:style w:type="paragraph" w:customStyle="1" w:styleId="Style6">
    <w:name w:val="Основной текст"/>
    <w:basedOn w:val="Normal"/>
    <w:link w:val="CharStyle7"/>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8">
    <w:name w:val="Заголовок №1"/>
    <w:basedOn w:val="Normal"/>
    <w:link w:val="CharStyle9"/>
    <w:pPr>
      <w:widowControl w:val="0"/>
      <w:shd w:val="clear" w:color="auto" w:fill="auto"/>
      <w:jc w:val="center"/>
      <w:outlineLvl w:val="0"/>
    </w:pPr>
    <w:rPr>
      <w:rFonts w:ascii="Times New Roman" w:eastAsia="Times New Roman" w:hAnsi="Times New Roman" w:cs="Times New Roman"/>
      <w:b/>
      <w:bCs/>
      <w:i w:val="0"/>
      <w:iCs w:val="0"/>
      <w:smallCaps w:val="0"/>
      <w:strike w:val="0"/>
      <w:sz w:val="28"/>
      <w:szCs w:val="2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s>
</file>