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70505" distL="1172210" distR="1138555" simplePos="0" relativeHeight="125829378" behindDoc="0" locked="0" layoutInCell="1" allowOverlap="1">
            <wp:simplePos x="0" y="0"/>
            <wp:positionH relativeFrom="page">
              <wp:posOffset>1782445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831975" distL="309245" distR="264160" simplePos="0" relativeHeight="125829379" behindDoc="0" locked="0" layoutInCell="1" allowOverlap="1">
                <wp:simplePos x="0" y="0"/>
                <wp:positionH relativeFrom="page">
                  <wp:posOffset>919480</wp:posOffset>
                </wp:positionH>
                <wp:positionV relativeFrom="paragraph">
                  <wp:posOffset>722630</wp:posOffset>
                </wp:positionV>
                <wp:extent cx="2249170" cy="826135"/>
                <wp:wrapSquare wrapText="right"/>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400000000000006pt;margin-top:56.899999999999999pt;width:177.09999999999999pt;height:65.049999999999997pt;z-index:-125829374;mso-wrap-distance-left:24.350000000000001pt;mso-wrap-distance-top:55.899999999999999pt;mso-wrap-distance-right:20.800000000000001pt;mso-wrap-distance-bottom:144.25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w:drawing>
          <wp:anchor distT="2264410" distB="0" distL="114300" distR="114300" simplePos="0" relativeHeight="125829381" behindDoc="0" locked="0" layoutInCell="1" allowOverlap="1">
            <wp:simplePos x="0" y="0"/>
            <wp:positionH relativeFrom="page">
              <wp:posOffset>724535</wp:posOffset>
            </wp:positionH>
            <wp:positionV relativeFrom="paragraph">
              <wp:posOffset>2277110</wp:posOffset>
            </wp:positionV>
            <wp:extent cx="2597150" cy="110363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1036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1087120</wp:posOffset>
                </wp:positionH>
                <wp:positionV relativeFrom="paragraph">
                  <wp:posOffset>1673860</wp:posOffset>
                </wp:positionV>
                <wp:extent cx="1898650" cy="548640"/>
                <wp:wrapNone/>
                <wp:docPr id="7" name="Shape 7"/>
                <a:graphic xmlns:a="http://schemas.openxmlformats.org/drawingml/2006/main">
                  <a:graphicData uri="http://schemas.microsoft.com/office/word/2010/wordprocessingShape">
                    <wps:wsp>
                      <wps:cNvSpPr txBox="1"/>
                      <wps:spPr>
                        <a:xfrm>
                          <a:ext cx="1898650" cy="548640"/>
                        </a:xfrm>
                        <a:prstGeom prst="rect"/>
                        <a:noFill/>
                      </wps:spPr>
                      <wps:txbx>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wps:txbx>
                      <wps:bodyPr lIns="0" tIns="0" rIns="0" bIns="0">
                        <a:noAutoFit/>
                      </wps:bodyPr>
                    </wps:wsp>
                  </a:graphicData>
                </a:graphic>
              </wp:anchor>
            </w:drawing>
          </mc:Choice>
          <mc:Fallback>
            <w:pict>
              <v:shape id="_x0000_s1033" type="#_x0000_t202" style="position:absolute;margin-left:85.600000000000009pt;margin-top:131.80000000000001pt;width:149.5pt;height:43.200000000000003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v:textbox>
                <w10:wrap anchorx="page"/>
              </v:shape>
            </w:pict>
          </mc:Fallback>
        </mc:AlternateContent>
      </w:r>
    </w:p>
    <w:p>
      <w:pPr>
        <w:pStyle w:val="Style8"/>
        <w:keepNext w:val="0"/>
        <w:keepLines w:val="0"/>
        <w:widowControl w:val="0"/>
        <w:shd w:val="clear" w:color="auto" w:fill="auto"/>
        <w:bidi w:val="0"/>
        <w:spacing w:before="0" w:after="0" w:line="240" w:lineRule="auto"/>
        <w:ind w:left="960" w:right="0" w:firstLine="40"/>
        <w:jc w:val="left"/>
      </w:pPr>
      <w:r>
        <w:rPr>
          <w:color w:val="000000"/>
          <w:spacing w:val="0"/>
          <w:w w:val="100"/>
          <w:position w:val="0"/>
          <w:sz w:val="24"/>
          <w:szCs w:val="24"/>
          <w:shd w:val="clear" w:color="auto" w:fill="auto"/>
          <w:lang w:val="ru-RU" w:eastAsia="ru-RU" w:bidi="ru-RU"/>
        </w:rPr>
        <w:t>ООО "Молот" (далее — Заявитель 1) 127030, г. Москва, вн. тер. г. Муниципальный округ Тверской, ул. Новослободская, д. 26, стр. 1, этаж 3, пом.2, к.5, оф.329</w:t>
      </w:r>
    </w:p>
    <w:p>
      <w:pPr>
        <w:pStyle w:val="Style8"/>
        <w:keepNext w:val="0"/>
        <w:keepLines w:val="0"/>
        <w:widowControl w:val="0"/>
        <w:shd w:val="clear" w:color="auto" w:fill="auto"/>
        <w:bidi w:val="0"/>
        <w:spacing w:before="0" w:after="240" w:line="240" w:lineRule="auto"/>
        <w:ind w:left="0" w:right="0" w:firstLine="960"/>
        <w:jc w:val="left"/>
      </w:pPr>
      <w:r>
        <w:fldChar w:fldCharType="begin"/>
      </w:r>
      <w:r>
        <w:rPr/>
        <w:instrText> HYPERLINK "mailto:Molot124@mail.ru" </w:instrText>
      </w:r>
      <w:r>
        <w:fldChar w:fldCharType="separate"/>
      </w:r>
      <w:r>
        <w:rPr>
          <w:color w:val="000080"/>
          <w:spacing w:val="0"/>
          <w:w w:val="100"/>
          <w:position w:val="0"/>
          <w:sz w:val="24"/>
          <w:szCs w:val="24"/>
          <w:u w:val="single"/>
          <w:shd w:val="clear" w:color="auto" w:fill="auto"/>
          <w:lang w:val="ru-RU" w:eastAsia="ru-RU" w:bidi="ru-RU"/>
        </w:rPr>
        <w:t>Мо1оН24@таП.ш</w:t>
      </w:r>
      <w:r>
        <w:fldChar w:fldCharType="end"/>
      </w:r>
    </w:p>
    <w:p>
      <w:pPr>
        <w:pStyle w:val="Style8"/>
        <w:keepNext w:val="0"/>
        <w:keepLines w:val="0"/>
        <w:widowControl w:val="0"/>
        <w:shd w:val="clear" w:color="auto" w:fill="auto"/>
        <w:bidi w:val="0"/>
        <w:spacing w:before="0" w:after="0" w:line="240" w:lineRule="auto"/>
        <w:ind w:left="0" w:right="0" w:firstLine="960"/>
        <w:jc w:val="left"/>
      </w:pPr>
      <w:r>
        <w:rPr>
          <w:color w:val="000000"/>
          <w:spacing w:val="0"/>
          <w:w w:val="100"/>
          <w:position w:val="0"/>
          <w:sz w:val="24"/>
          <w:szCs w:val="24"/>
          <w:shd w:val="clear" w:color="auto" w:fill="auto"/>
          <w:lang w:val="ru-RU" w:eastAsia="ru-RU" w:bidi="ru-RU"/>
        </w:rPr>
        <w:t>ООО ОП "Безопасный город" (далее —</w:t>
      </w:r>
    </w:p>
    <w:p>
      <w:pPr>
        <w:pStyle w:val="Style8"/>
        <w:keepNext w:val="0"/>
        <w:keepLines w:val="0"/>
        <w:widowControl w:val="0"/>
        <w:shd w:val="clear" w:color="auto" w:fill="auto"/>
        <w:bidi w:val="0"/>
        <w:spacing w:before="0" w:after="0" w:line="240" w:lineRule="auto"/>
        <w:ind w:left="0" w:right="0" w:firstLine="960"/>
        <w:jc w:val="left"/>
      </w:pPr>
      <w:r>
        <w:rPr>
          <w:color w:val="000000"/>
          <w:spacing w:val="0"/>
          <w:w w:val="100"/>
          <w:position w:val="0"/>
          <w:sz w:val="24"/>
          <w:szCs w:val="24"/>
          <w:shd w:val="clear" w:color="auto" w:fill="auto"/>
          <w:lang w:val="ru-RU" w:eastAsia="ru-RU" w:bidi="ru-RU"/>
        </w:rPr>
        <w:t>Заявитель 2)</w:t>
      </w:r>
    </w:p>
    <w:p>
      <w:pPr>
        <w:pStyle w:val="Style8"/>
        <w:keepNext w:val="0"/>
        <w:keepLines w:val="0"/>
        <w:widowControl w:val="0"/>
        <w:shd w:val="clear" w:color="auto" w:fill="auto"/>
        <w:bidi w:val="0"/>
        <w:spacing w:before="0" w:after="0" w:line="240" w:lineRule="auto"/>
        <w:ind w:left="960" w:right="0" w:firstLine="40"/>
        <w:jc w:val="left"/>
      </w:pPr>
      <w:r>
        <w:rPr>
          <w:color w:val="000000"/>
          <w:spacing w:val="0"/>
          <w:w w:val="100"/>
          <w:position w:val="0"/>
          <w:sz w:val="24"/>
          <w:szCs w:val="24"/>
          <w:shd w:val="clear" w:color="auto" w:fill="auto"/>
          <w:lang w:val="ru-RU" w:eastAsia="ru-RU" w:bidi="ru-RU"/>
        </w:rPr>
        <w:t>ул. Думенко, д. 20, оф. 10, г. Новочеркасск, Ростовская область, 346400</w:t>
      </w:r>
    </w:p>
    <w:p>
      <w:pPr>
        <w:pStyle w:val="Style8"/>
        <w:keepNext w:val="0"/>
        <w:keepLines w:val="0"/>
        <w:widowControl w:val="0"/>
        <w:shd w:val="clear" w:color="auto" w:fill="auto"/>
        <w:bidi w:val="0"/>
        <w:spacing w:before="0" w:after="240" w:line="240" w:lineRule="auto"/>
        <w:ind w:left="960" w:right="0" w:firstLine="40"/>
        <w:jc w:val="left"/>
      </w:pPr>
      <w:r>
        <w:fldChar w:fldCharType="begin"/>
      </w:r>
      <w:r>
        <w:rPr/>
        <w:instrText> HYPERLINK "mailto:op-bg@mail.ru" </w:instrText>
      </w:r>
      <w:r>
        <w:fldChar w:fldCharType="separate"/>
      </w:r>
      <w:r>
        <w:rPr>
          <w:color w:val="000080"/>
          <w:spacing w:val="0"/>
          <w:w w:val="100"/>
          <w:position w:val="0"/>
          <w:sz w:val="24"/>
          <w:szCs w:val="24"/>
          <w:u w:val="single"/>
          <w:shd w:val="clear" w:color="auto" w:fill="auto"/>
          <w:lang w:val="ru-RU" w:eastAsia="ru-RU" w:bidi="ru-RU"/>
        </w:rPr>
        <w:t>ор-Ьд@таП.ш</w:t>
      </w:r>
      <w:r>
        <w:fldChar w:fldCharType="end"/>
      </w:r>
    </w:p>
    <w:p>
      <w:pPr>
        <w:pStyle w:val="Style8"/>
        <w:keepNext w:val="0"/>
        <w:keepLines w:val="0"/>
        <w:widowControl w:val="0"/>
        <w:shd w:val="clear" w:color="auto" w:fill="auto"/>
        <w:bidi w:val="0"/>
        <w:spacing w:before="0" w:after="0" w:line="240" w:lineRule="auto"/>
        <w:ind w:left="960" w:right="0" w:firstLine="40"/>
        <w:jc w:val="left"/>
      </w:pPr>
      <w:r>
        <w:rPr>
          <w:color w:val="000000"/>
          <w:spacing w:val="0"/>
          <w:w w:val="100"/>
          <w:position w:val="0"/>
          <w:sz w:val="24"/>
          <w:szCs w:val="24"/>
          <w:shd w:val="clear" w:color="auto" w:fill="auto"/>
          <w:lang w:val="ru-RU" w:eastAsia="ru-RU" w:bidi="ru-RU"/>
        </w:rPr>
        <w:t>МУ МВД России "Новочеркасское" (далее - Заказчик)</w:t>
      </w:r>
    </w:p>
    <w:p>
      <w:pPr>
        <w:pStyle w:val="Style8"/>
        <w:keepNext w:val="0"/>
        <w:keepLines w:val="0"/>
        <w:widowControl w:val="0"/>
        <w:shd w:val="clear" w:color="auto" w:fill="auto"/>
        <w:bidi w:val="0"/>
        <w:spacing w:before="0" w:after="0" w:line="240" w:lineRule="auto"/>
        <w:ind w:left="960" w:right="0" w:firstLine="40"/>
        <w:jc w:val="left"/>
      </w:pPr>
      <w:r>
        <w:rPr>
          <w:color w:val="000000"/>
          <w:spacing w:val="0"/>
          <w:w w:val="100"/>
          <w:position w:val="0"/>
          <w:sz w:val="24"/>
          <w:szCs w:val="24"/>
          <w:shd w:val="clear" w:color="auto" w:fill="auto"/>
          <w:lang w:val="ru-RU" w:eastAsia="ru-RU" w:bidi="ru-RU"/>
        </w:rPr>
        <w:t>ул. Московская, 11, г. Новочеркасск, Ростовская область, 346430</w:t>
      </w:r>
    </w:p>
    <w:p>
      <w:pPr>
        <w:pStyle w:val="Style8"/>
        <w:keepNext w:val="0"/>
        <w:keepLines w:val="0"/>
        <w:widowControl w:val="0"/>
        <w:shd w:val="clear" w:color="auto" w:fill="auto"/>
        <w:bidi w:val="0"/>
        <w:spacing w:before="0" w:after="240" w:line="240" w:lineRule="auto"/>
        <w:ind w:left="0" w:right="0" w:firstLine="960"/>
        <w:jc w:val="left"/>
      </w:pPr>
      <w:r>
        <w:rPr>
          <w:color w:val="000000"/>
          <w:spacing w:val="0"/>
          <w:w w:val="100"/>
          <w:position w:val="0"/>
          <w:sz w:val="24"/>
          <w:szCs w:val="24"/>
          <w:shd w:val="clear" w:color="auto" w:fill="auto"/>
          <w:lang w:val="ru-RU" w:eastAsia="ru-RU" w:bidi="ru-RU"/>
        </w:rPr>
        <w:t>и\\-с1поуос1т@таП.ги</w:t>
      </w:r>
    </w:p>
    <w:p>
      <w:pPr>
        <w:pStyle w:val="Style8"/>
        <w:keepNext w:val="0"/>
        <w:keepLines w:val="0"/>
        <w:widowControl w:val="0"/>
        <w:shd w:val="clear" w:color="auto" w:fill="auto"/>
        <w:bidi w:val="0"/>
        <w:spacing w:before="0" w:after="1400" w:line="240" w:lineRule="auto"/>
        <w:ind w:left="5320" w:right="0" w:firstLine="0"/>
        <w:jc w:val="left"/>
      </w:pPr>
      <w:r>
        <w:rPr>
          <w:color w:val="000000"/>
          <w:spacing w:val="0"/>
          <w:w w:val="100"/>
          <w:position w:val="0"/>
          <w:sz w:val="24"/>
          <w:szCs w:val="24"/>
          <w:shd w:val="clear" w:color="auto" w:fill="auto"/>
          <w:lang w:val="ru-RU" w:eastAsia="ru-RU" w:bidi="ru-RU"/>
        </w:rPr>
        <w:t>АО «Сбербанк-АСТ» (далее - Оператор) ко@8ЬегЬапк-а8Еш</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8"/>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 № 061/06/49-1441/2023, № 061/06/49-1482/2023</w:t>
      </w:r>
    </w:p>
    <w:p>
      <w:pPr>
        <w:pStyle w:val="Style8"/>
        <w:keepNext w:val="0"/>
        <w:keepLines w:val="0"/>
        <w:widowControl w:val="0"/>
        <w:shd w:val="clear" w:color="auto" w:fill="auto"/>
        <w:tabs>
          <w:tab w:pos="841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26.04.2023</w:t>
        <w:tab/>
        <w:t>г. Ростов-на-Дону</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8"/>
        <w:keepNext w:val="0"/>
        <w:keepLines w:val="0"/>
        <w:widowControl w:val="0"/>
        <w:shd w:val="clear" w:color="auto" w:fill="auto"/>
        <w:tabs>
          <w:tab w:pos="860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8"/>
        <w:keepNext w:val="0"/>
        <w:keepLines w:val="0"/>
        <w:widowControl w:val="0"/>
        <w:shd w:val="clear" w:color="auto" w:fill="auto"/>
        <w:tabs>
          <w:tab w:pos="841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8"/>
        <w:keepNext w:val="0"/>
        <w:keepLines w:val="0"/>
        <w:widowControl w:val="0"/>
        <w:shd w:val="clear" w:color="auto" w:fill="auto"/>
        <w:bidi w:val="0"/>
        <w:spacing w:before="0" w:after="126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дела № 061/06/49-1441/2023, № 061/06/49-1482/2023 по жалобам Заявителей о нарушении конкурсной комиссией Заказчика при проведении открытого конкурса в электронной форме № 0158100025623000004 «Оказание услуг по охране Центра временного содержания иностранных граждан для Межмуниципального управления МВД России «Новочеркасское»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Заказчика — Воропая В.А. (доверенность от 17.04.2023 г. № 1/3568); Заявителя 1 — Бахтиной А.И. (доверенность от 05.12.2022 г. № 05-12/2022); в отсутствие представителя Заявителя 2 (уведомлен надлежащим образом, ходатайств не поступало),</w:t>
      </w:r>
    </w:p>
    <w:p>
      <w:pPr>
        <w:pStyle w:val="Style14"/>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8"/>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поступили жалобы Заявителей на действия конкурсной комиссии Заказчика, выразившиеся в отклонении заявок участников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8"/>
        <w:keepNext w:val="0"/>
        <w:keepLines w:val="0"/>
        <w:widowControl w:val="0"/>
        <w:numPr>
          <w:ilvl w:val="0"/>
          <w:numId w:val="1"/>
        </w:numPr>
        <w:shd w:val="clear" w:color="auto" w:fill="auto"/>
        <w:tabs>
          <w:tab w:pos="94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как осуществлялось рассмотрение заявок;</w:t>
      </w:r>
    </w:p>
    <w:p>
      <w:pPr>
        <w:pStyle w:val="Style8"/>
        <w:keepNext w:val="0"/>
        <w:keepLines w:val="0"/>
        <w:widowControl w:val="0"/>
        <w:numPr>
          <w:ilvl w:val="0"/>
          <w:numId w:val="1"/>
        </w:numPr>
        <w:shd w:val="clear" w:color="auto" w:fill="auto"/>
        <w:tabs>
          <w:tab w:pos="94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8"/>
        <w:keepNext w:val="0"/>
        <w:keepLines w:val="0"/>
        <w:widowControl w:val="0"/>
        <w:shd w:val="clear" w:color="auto" w:fill="auto"/>
        <w:bidi w:val="0"/>
        <w:spacing w:before="0" w:after="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29.03.2023 г. на официальном сайте Единой информационной системы в сфере закупок (далее - ЕИС) Заказчиком опубликовано Извещение о проведении закупки, в соответствии с которым: срок окончания подачи заявок - 14.04.2023 г. в 08:00; начальная (максимальная) цена контракта - 8 016 053,76 руб.</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рассмотрения и оценки вторых частей заявок на участие в открытом конкурсе в электронной форме от 18.04.2023 №ПРОП1 на участие в закупке поступило 5 заявок; 4 заявки признаны несоответствующими требованиям Закона и Извещения, в том числе: заявки № 236 (Заявитель 1), № 25 (Заявитель 2) с обоснованием: «</w:t>
      </w:r>
      <w:r>
        <w:rPr>
          <w:i/>
          <w:iCs/>
          <w:color w:val="000000"/>
          <w:spacing w:val="0"/>
          <w:w w:val="100"/>
          <w:position w:val="0"/>
          <w:sz w:val="24"/>
          <w:szCs w:val="24"/>
          <w:shd w:val="clear" w:color="auto" w:fill="auto"/>
          <w:lang w:val="ru-RU" w:eastAsia="ru-RU" w:bidi="ru-RU"/>
        </w:rPr>
        <w:t>(п.1 ч.12 ст. 48) - непредставления информации и документов, предусмотренных извещением, несоответствия таких информации и документов в нарушение п./п. 3 п. 3 ст. 67.1 ГК РФ решение об одобрении крупной сделки не заверено нотариально».</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19.04.2023 №ИЭОК1 конкурс признан несостоявшимся, так как по итогам рассмотрения заявок только 1 заявка признана соответствующей требованиям Закона и Извещения.</w:t>
      </w:r>
    </w:p>
    <w:p>
      <w:pPr>
        <w:pStyle w:val="Style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Согласно доводу жалобы Заявителя 1, участник закупки не согласен с отклонением его заявки с обоснованием, изложенным в протоколе. В обоснование своей позиции об отсутствии необходимости нотариального заверения документа Заявитель 1 ссылается на положения устава.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1 ст. 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12 ст. 48 Закона определено, что при рассмотрении вторых частей заявок на участие в закупке соответствующая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подпунктом "м" п. 1 ч. 1 ст. 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w:t>
      </w:r>
      <w:r>
        <w:rPr>
          <w:color w:val="000000"/>
          <w:spacing w:val="0"/>
          <w:w w:val="100"/>
          <w:position w:val="0"/>
          <w:sz w:val="24"/>
          <w:szCs w:val="24"/>
          <w:shd w:val="clear" w:color="auto" w:fill="auto"/>
          <w:lang w:val="ru-RU" w:eastAsia="ru-RU" w:bidi="ru-RU"/>
        </w:rPr>
        <w:t>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составе заявки Заявителя 1 имеется решение единственного участника ООО «Молот» от 27.07.2022, согласно которому участник общества Гореловский А.С. принял решение об одобрении крупных сделок, заключаемых на торгах, с максимальной ценой одной (каждой) такой сделки 1 000 000 000,00 руб. Названное решение подписано собственноручно учредителем.</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отмечает, что согласно пп. 3 п. 3 ст. 67.1 ГК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положениями Устава ООО «Молот» установлен альтернативный способ подтверждения решений Общества, а именно: в п. 15.3 указано, что «</w:t>
      </w:r>
      <w:r>
        <w:rPr>
          <w:i/>
          <w:iCs/>
          <w:color w:val="000000"/>
          <w:spacing w:val="0"/>
          <w:w w:val="100"/>
          <w:position w:val="0"/>
          <w:sz w:val="24"/>
          <w:szCs w:val="24"/>
          <w:shd w:val="clear" w:color="auto" w:fill="auto"/>
          <w:lang w:val="ru-RU" w:eastAsia="ru-RU" w:bidi="ru-RU"/>
        </w:rPr>
        <w:t>Решение об одобрении крупной сделки принимается общим собранием участников Общества».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Исходя из изложенного, нотариальное удостоверение решения об одобрении крупной сделки не требуется.</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Кроме того, согласно правовой позиции, изложенной в Письмах ФАС России от 23.07.2020 г. № ИА/62842/20, Министерства финансов России от 07.07.2020 г. № 24-05-07/58645, Закон не содержит требований о нотариальном заверении копии решения о согласии на совершение или о последующем одобрении крупной сделки.</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Конкурсная комиссия Заказчика, отклоняя заявку ООО «Маяк» по основаниям, не предусмотренным Законом, действовала в нарушение ч. 1 ст. 27 Закона.</w:t>
      </w:r>
    </w:p>
    <w:p>
      <w:pPr>
        <w:pStyle w:val="Style8"/>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Довод жалобы — обоснованный.</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2. Согласно доводу жалобы Заявителя 2, участник закупки не согласен с отклонением его заявки с обоснованием, изложенным в протоколе. В обоснование своей позиции об отсутствии необходимости нотариального заверения документа Заявитель 2 ссылается на положения устава.</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составе заявки Заявителя 2 имеется решение об одобрении крупных сделок, заключаемых по результатам электронных процедур, с максимальной ценой одной сделки 10 000 000,00 руб., оформленное протоколом внеочередного общего собрания участников ООО ОП «Безопасный город» от 07.11.2022 г. № 7. Названный протокол подписан собственноручно участниками Общества — Михаловым В.Е. (75%), Евликовой О.А. (25%).</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положениями Устава ОП «Безопасный город» установлен альтернативный способ подтверждения решений Общества, а именно: в п. 19.9 указано, что «</w:t>
      </w:r>
      <w:r>
        <w:rPr>
          <w:i/>
          <w:iCs/>
          <w:color w:val="000000"/>
          <w:spacing w:val="0"/>
          <w:w w:val="100"/>
          <w:position w:val="0"/>
          <w:sz w:val="24"/>
          <w:szCs w:val="24"/>
          <w:shd w:val="clear" w:color="auto" w:fill="auto"/>
          <w:lang w:val="ru-RU" w:eastAsia="ru-RU" w:bidi="ru-RU"/>
        </w:rPr>
        <w:t>Решения общего собрания участников, а также состав участников, присутствующих на Общем собрании, подтверждаются подписью всеми участниками Общества и не подлежат нотариальному удостоверению».</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Исходя из изложенного, нотариальное удостоверение решения об одобрении крупной сделки не требуется.</w:t>
      </w:r>
    </w:p>
    <w:p>
      <w:pPr>
        <w:pStyle w:val="Style8"/>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Конкурсная комиссия Заказчика, отклоняя заявку ООО ОП «Безопасный город» по основаниям, не предусмотренным Законом, действовала в нарушение ч. 1 ст. 27 Закона.</w:t>
      </w:r>
    </w:p>
    <w:p>
      <w:pPr>
        <w:pStyle w:val="Style8"/>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Довод жалобы — обоснованный.</w:t>
      </w:r>
    </w:p>
    <w:p>
      <w:pPr>
        <w:pStyle w:val="Style8"/>
        <w:keepNext w:val="0"/>
        <w:keepLines w:val="0"/>
        <w:widowControl w:val="0"/>
        <w:shd w:val="clear" w:color="auto" w:fill="auto"/>
        <w:bidi w:val="0"/>
        <w:spacing w:before="0" w:after="240" w:line="240" w:lineRule="auto"/>
        <w:ind w:left="0" w:right="0" w:firstLine="760"/>
        <w:jc w:val="both"/>
        <w:sectPr>
          <w:footerReference w:type="default" r:id="rId9"/>
          <w:footerReference w:type="first" r:id="rId10"/>
          <w:footnotePr>
            <w:pos w:val="pageBottom"/>
            <w:numFmt w:val="decimal"/>
            <w:numRestart w:val="continuous"/>
          </w:footnotePr>
          <w:pgSz w:w="11900" w:h="16840"/>
          <w:pgMar w:top="990" w:right="533" w:bottom="1232" w:left="1090"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8"/>
        <w:keepNext w:val="0"/>
        <w:keepLines w:val="0"/>
        <w:widowControl w:val="0"/>
        <w:numPr>
          <w:ilvl w:val="0"/>
          <w:numId w:val="3"/>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жалобы ООО «Молот», ООО ОП «Безопасный город» обоснованными.</w:t>
      </w:r>
    </w:p>
    <w:p>
      <w:pPr>
        <w:pStyle w:val="Style8"/>
        <w:keepNext w:val="0"/>
        <w:keepLines w:val="0"/>
        <w:widowControl w:val="0"/>
        <w:numPr>
          <w:ilvl w:val="0"/>
          <w:numId w:val="3"/>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конкурсную комиссию Заказчика нарушившей ч. 1 ст. 27 Закона.</w:t>
      </w:r>
    </w:p>
    <w:p>
      <w:pPr>
        <w:pStyle w:val="Style8"/>
        <w:keepNext w:val="0"/>
        <w:keepLines w:val="0"/>
        <w:widowControl w:val="0"/>
        <w:numPr>
          <w:ilvl w:val="0"/>
          <w:numId w:val="3"/>
        </w:numPr>
        <w:shd w:val="clear" w:color="auto" w:fill="auto"/>
        <w:tabs>
          <w:tab w:pos="100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конкурсной комиссии Заказчика обязательное для исполнения предписание об устранении допущенных нарушений путем отмены протоколов и пересмотра конкурсных заявок.</w:t>
      </w:r>
    </w:p>
    <w:p>
      <w:pPr>
        <w:pStyle w:val="Style8"/>
        <w:keepNext w:val="0"/>
        <w:keepLines w:val="0"/>
        <w:widowControl w:val="0"/>
        <w:numPr>
          <w:ilvl w:val="0"/>
          <w:numId w:val="3"/>
        </w:numPr>
        <w:shd w:val="clear" w:color="auto" w:fill="auto"/>
        <w:tabs>
          <w:tab w:pos="1011" w:val="left"/>
        </w:tabs>
        <w:bidi w:val="0"/>
        <w:spacing w:before="0" w:after="32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конкурсной комиссии Заказчика к административной ответственности.</w:t>
      </w:r>
    </w:p>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4"/>
        <w:gridCol w:w="4162"/>
        <w:gridCol w:w="3110"/>
      </w:tblGrid>
      <w:tr>
        <w:trPr>
          <w:trHeight w:val="1570" w:hRule="exact"/>
        </w:trPr>
        <w:tc>
          <w:tcPr>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0"/>
              <w:keepNext w:val="0"/>
              <w:keepLines w:val="0"/>
              <w:widowControl w:val="0"/>
              <w:shd w:val="clear" w:color="auto" w:fill="auto"/>
              <w:bidi w:val="0"/>
              <w:spacing w:before="0" w:after="0" w:line="391" w:lineRule="auto"/>
              <w:ind w:left="440" w:right="0" w:firstLine="0"/>
              <w:jc w:val="left"/>
              <w:rPr>
                <w:sz w:val="22"/>
                <w:szCs w:val="22"/>
              </w:rPr>
            </w:pPr>
            <w:r>
              <w:rPr>
                <w:rFonts w:ascii="Arial" w:eastAsia="Arial" w:hAnsi="Arial" w:cs="Arial"/>
                <w:b/>
                <w:bCs/>
                <w:color w:val="888888"/>
                <w:spacing w:val="0"/>
                <w:w w:val="100"/>
                <w:position w:val="0"/>
                <w:sz w:val="22"/>
                <w:szCs w:val="22"/>
                <w:shd w:val="clear" w:color="auto" w:fill="auto"/>
                <w:lang w:val="ru-RU" w:eastAsia="ru-RU" w:bidi="ru-RU"/>
              </w:rPr>
              <w:t>Мест дня подписи:</w:t>
            </w:r>
            <w:r>
              <w:rPr>
                <w:rFonts w:ascii="Arial" w:eastAsia="Arial" w:hAnsi="Arial" w:cs="Arial"/>
                <w:b/>
                <w:bCs/>
                <w:color w:val="888888"/>
                <w:spacing w:val="0"/>
                <w:w w:val="100"/>
                <w:position w:val="0"/>
                <w:sz w:val="22"/>
                <w:szCs w:val="22"/>
                <w:shd w:val="clear" w:color="auto" w:fill="auto"/>
                <w:lang w:val="ru-RU" w:eastAsia="ru-RU" w:bidi="ru-RU"/>
              </w:rPr>
              <w:t xml:space="preserve"> КожбМякО Н. А.</w:t>
            </w:r>
          </w:p>
        </w:tc>
        <w:tc>
          <w:tcPr>
            <w:tcBorders/>
            <w:shd w:val="clear" w:color="auto" w:fill="auto"/>
            <w:vAlign w:val="top"/>
          </w:tcPr>
          <w:p>
            <w:pPr>
              <w:pStyle w:val="Style20"/>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c>
      </w:tr>
      <w:tr>
        <w:trPr>
          <w:trHeight w:val="2030" w:hRule="exact"/>
        </w:trPr>
        <w:tc>
          <w:tcPr>
            <w:tcBorders/>
            <w:shd w:val="clear" w:color="auto" w:fill="auto"/>
            <w:vAlign w:val="top"/>
          </w:tcPr>
          <w:p>
            <w:pPr>
              <w:pStyle w:val="Style20"/>
              <w:keepNext w:val="0"/>
              <w:keepLines w:val="0"/>
              <w:widowControl w:val="0"/>
              <w:shd w:val="clear" w:color="auto" w:fill="auto"/>
              <w:bidi w:val="0"/>
              <w:spacing w:before="12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0"/>
              <w:keepNext w:val="0"/>
              <w:keepLines w:val="0"/>
              <w:widowControl w:val="0"/>
              <w:shd w:val="clear" w:color="auto" w:fill="auto"/>
              <w:bidi w:val="0"/>
              <w:spacing w:before="0" w:after="140" w:line="240" w:lineRule="auto"/>
              <w:ind w:left="0" w:right="0" w:firstLine="440"/>
              <w:jc w:val="left"/>
              <w:rPr>
                <w:sz w:val="22"/>
                <w:szCs w:val="22"/>
              </w:rPr>
            </w:pPr>
            <w:r>
              <w:rPr>
                <w:rFonts w:ascii="Arial" w:eastAsia="Arial" w:hAnsi="Arial" w:cs="Arial"/>
                <w:b/>
                <w:bCs/>
                <w:color w:val="888888"/>
                <w:spacing w:val="0"/>
                <w:w w:val="100"/>
                <w:position w:val="0"/>
                <w:sz w:val="22"/>
                <w:szCs w:val="22"/>
                <w:shd w:val="clear" w:color="auto" w:fill="auto"/>
                <w:lang w:val="ru-RU" w:eastAsia="ru-RU" w:bidi="ru-RU"/>
              </w:rPr>
              <w:t>Мест для подписи:</w:t>
            </w:r>
          </w:p>
          <w:p>
            <w:pPr>
              <w:pStyle w:val="Style20"/>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88888"/>
                <w:spacing w:val="0"/>
                <w:w w:val="100"/>
                <w:position w:val="0"/>
                <w:sz w:val="22"/>
                <w:szCs w:val="22"/>
                <w:shd w:val="clear" w:color="auto" w:fill="auto"/>
                <w:lang w:val="ru-RU" w:eastAsia="ru-RU" w:bidi="ru-RU"/>
              </w:rPr>
              <w:t>Евсграюьа С. А.</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c>
      </w:tr>
      <w:tr>
        <w:trPr>
          <w:trHeight w:val="1459"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0"/>
              <w:keepNext w:val="0"/>
              <w:keepLines w:val="0"/>
              <w:widowControl w:val="0"/>
              <w:shd w:val="clear" w:color="auto" w:fill="auto"/>
              <w:bidi w:val="0"/>
              <w:spacing w:before="0" w:after="0" w:line="401" w:lineRule="auto"/>
              <w:ind w:left="440" w:right="0" w:firstLine="0"/>
              <w:jc w:val="left"/>
              <w:rPr>
                <w:sz w:val="22"/>
                <w:szCs w:val="22"/>
              </w:rPr>
            </w:pPr>
            <w:r>
              <w:rPr>
                <w:rFonts w:ascii="Arial" w:eastAsia="Arial" w:hAnsi="Arial" w:cs="Arial"/>
                <w:b/>
                <w:bCs/>
                <w:color w:val="888888"/>
                <w:spacing w:val="0"/>
                <w:w w:val="100"/>
                <w:position w:val="0"/>
                <w:sz w:val="22"/>
                <w:szCs w:val="22"/>
                <w:shd w:val="clear" w:color="auto" w:fill="auto"/>
                <w:lang w:val="ru-RU" w:eastAsia="ru-RU" w:bidi="ru-RU"/>
              </w:rPr>
              <w:t>Мест для подписи:</w:t>
            </w:r>
            <w:r>
              <w:rPr>
                <w:rFonts w:ascii="Arial" w:eastAsia="Arial" w:hAnsi="Arial" w:cs="Arial"/>
                <w:b/>
                <w:bCs/>
                <w:color w:val="888888"/>
                <w:spacing w:val="0"/>
                <w:w w:val="100"/>
                <w:position w:val="0"/>
                <w:sz w:val="22"/>
                <w:szCs w:val="22"/>
                <w:shd w:val="clear" w:color="auto" w:fill="auto"/>
                <w:lang w:val="ru-RU" w:eastAsia="ru-RU" w:bidi="ru-RU"/>
              </w:rPr>
              <w:t xml:space="preserve"> Михарекам А. А.</w:t>
            </w:r>
          </w:p>
        </w:tc>
        <w:tc>
          <w:tcPr>
            <w:tcBorders/>
            <w:shd w:val="clear" w:color="auto" w:fill="auto"/>
            <w:vAlign w:val="top"/>
          </w:tcPr>
          <w:p>
            <w:pPr>
              <w:pStyle w:val="Style20"/>
              <w:keepNext w:val="0"/>
              <w:keepLines w:val="0"/>
              <w:widowControl w:val="0"/>
              <w:shd w:val="clear" w:color="auto" w:fill="auto"/>
              <w:bidi w:val="0"/>
              <w:spacing w:before="240" w:after="0" w:line="240" w:lineRule="auto"/>
              <w:ind w:left="0" w:right="0" w:firstLine="0"/>
              <w:jc w:val="right"/>
            </w:pPr>
            <w:r>
              <w:rPr>
                <w:color w:val="000000"/>
                <w:spacing w:val="0"/>
                <w:w w:val="100"/>
                <w:position w:val="0"/>
                <w:sz w:val="24"/>
                <w:szCs w:val="24"/>
                <w:shd w:val="clear" w:color="auto" w:fill="auto"/>
                <w:lang w:val="ru-RU" w:eastAsia="ru-RU" w:bidi="ru-RU"/>
              </w:rPr>
              <w:t>А.А. Михарская</w:t>
            </w:r>
          </w:p>
        </w:tc>
      </w:tr>
    </w:tbl>
    <w:p>
      <w:pPr>
        <w:widowControl w:val="0"/>
        <w:spacing w:after="5199" w:line="1" w:lineRule="exact"/>
      </w:pPr>
    </w:p>
    <w:p>
      <w:pPr>
        <w:pStyle w:val="Style8"/>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Исп.Михарская А.А.</w:t>
      </w:r>
    </w:p>
    <w:p>
      <w:pPr>
        <w:pStyle w:val="Style8"/>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вн.061-139</w:t>
      </w:r>
    </w:p>
    <w:sectPr>
      <w:headerReference w:type="default" r:id="rId11"/>
      <w:footerReference w:type="default" r:id="rId12"/>
      <w:footnotePr>
        <w:pos w:val="pageBottom"/>
        <w:numFmt w:val="decimal"/>
        <w:numRestart w:val="continuous"/>
      </w:footnotePr>
      <w:pgSz w:w="11900" w:h="16840"/>
      <w:pgMar w:top="1662" w:right="536" w:bottom="1518"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9975215</wp:posOffset>
              </wp:positionV>
              <wp:extent cx="646430" cy="100330"/>
              <wp:wrapNone/>
              <wp:docPr id="9" name="Shape 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wps:txbx>
                    <wps:bodyPr wrap="none" lIns="0" tIns="0" rIns="0" bIns="0">
                      <a:spAutoFit/>
                    </wps:bodyPr>
                  </wps:wsp>
                </a:graphicData>
              </a:graphic>
            </wp:anchor>
          </w:drawing>
        </mc:Choice>
        <mc:Fallback>
          <w:pict>
            <v:shape id="_x0000_s1035" type="#_x0000_t202" style="position:absolute;margin-left:56.800000000000004pt;margin-top:785.4500000000000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9975215</wp:posOffset>
              </wp:positionV>
              <wp:extent cx="646430" cy="100330"/>
              <wp:wrapNone/>
              <wp:docPr id="11" name="Shape 1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wps:txbx>
                    <wps:bodyPr wrap="none" lIns="0" tIns="0" rIns="0" bIns="0">
                      <a:spAutoFit/>
                    </wps:bodyPr>
                  </wps:wsp>
                </a:graphicData>
              </a:graphic>
            </wp:anchor>
          </w:drawing>
        </mc:Choice>
        <mc:Fallback>
          <w:pict>
            <v:shape id="_x0000_s1037" type="#_x0000_t202" style="position:absolute;margin-left:56.800000000000004pt;margin-top:785.45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10016490</wp:posOffset>
              </wp:positionV>
              <wp:extent cx="646430" cy="100330"/>
              <wp:wrapNone/>
              <wp:docPr id="15" name="Shape 1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wps:txbx>
                    <wps:bodyPr wrap="none" lIns="0" tIns="0" rIns="0" bIns="0">
                      <a:spAutoFit/>
                    </wps:bodyPr>
                  </wps:wsp>
                </a:graphicData>
              </a:graphic>
            </wp:anchor>
          </w:drawing>
        </mc:Choice>
        <mc:Fallback>
          <w:pict>
            <v:shape id="_x0000_s1041" type="#_x0000_t202" style="position:absolute;margin-left:57.pt;margin-top:788.70000000000005pt;width:50.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3613150</wp:posOffset>
              </wp:positionH>
              <wp:positionV relativeFrom="page">
                <wp:posOffset>759460</wp:posOffset>
              </wp:positionV>
              <wp:extent cx="682625" cy="106680"/>
              <wp:wrapNone/>
              <wp:docPr id="13" name="Shape 13"/>
              <a:graphic xmlns:a="http://schemas.openxmlformats.org/drawingml/2006/main">
                <a:graphicData uri="http://schemas.microsoft.com/office/word/2010/wordprocessingShape">
                  <wps:wsp>
                    <wps:cNvSpPr txBox="1"/>
                    <wps:spPr>
                      <a:xfrm>
                        <a:ext cx="68262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РЕШИЛА:</w:t>
                          </w:r>
                        </w:p>
                      </w:txbxContent>
                    </wps:txbx>
                    <wps:bodyPr wrap="none" lIns="0" tIns="0" rIns="0" bIns="0">
                      <a:spAutoFit/>
                    </wps:bodyPr>
                  </wps:wsp>
                </a:graphicData>
              </a:graphic>
            </wp:anchor>
          </w:drawing>
        </mc:Choice>
        <mc:Fallback>
          <w:pict>
            <v:shape id="_x0000_s1039" type="#_x0000_t202" style="position:absolute;margin-left:284.5pt;margin-top:59.800000000000004pt;width:53.75pt;height:8.4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РЕШИЛА:</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562A3"/>
      <w:sz w:val="17"/>
      <w:szCs w:val="17"/>
      <w:u w:val="none"/>
    </w:rPr>
  </w:style>
  <w:style w:type="character" w:customStyle="1" w:styleId="CharStyle5">
    <w:name w:val="Основной текст (2)_"/>
    <w:basedOn w:val="DefaultParagraphFont"/>
    <w:link w:val="Style4"/>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7">
    <w:name w:val="Подпись к картинке_"/>
    <w:basedOn w:val="DefaultParagraphFont"/>
    <w:link w:val="Style6"/>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3)"/>
    <w:basedOn w:val="Normal"/>
    <w:link w:val="CharStyle3"/>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562A3"/>
      <w:sz w:val="17"/>
      <w:szCs w:val="17"/>
      <w:u w:val="none"/>
    </w:rPr>
  </w:style>
  <w:style w:type="paragraph" w:customStyle="1" w:styleId="Style4">
    <w:name w:val="Основной текст (2)"/>
    <w:basedOn w:val="Normal"/>
    <w:link w:val="CharStyle5"/>
    <w:pPr>
      <w:widowControl w:val="0"/>
      <w:shd w:val="clear" w:color="auto" w:fill="auto"/>
      <w:jc w:val="center"/>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6">
    <w:name w:val="Подпись к картинке"/>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18">
    <w:name w:val="Подпись к таблице"/>
    <w:basedOn w:val="Normal"/>
    <w:link w:val="CharStyle19"/>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header" Target="header1.xml"/><Relationship Id="rId12" Type="http://schemas.openxmlformats.org/officeDocument/2006/relationships/footer" Target="footer3.xml"/></Relationships>
</file>