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1894205</wp:posOffset>
            </wp:positionH>
            <wp:positionV relativeFrom="paragraph">
              <wp:posOffset>12700</wp:posOffset>
            </wp:positionV>
            <wp:extent cx="524510"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1240790</wp:posOffset>
                </wp:positionH>
                <wp:positionV relativeFrom="paragraph">
                  <wp:posOffset>731520</wp:posOffset>
                </wp:positionV>
                <wp:extent cx="1821815" cy="276860"/>
                <wp:wrapSquare wrapText="bothSides"/>
                <wp:docPr id="3" name="Shape 3"/>
                <a:graphic xmlns:a="http://schemas.openxmlformats.org/drawingml/2006/main">
                  <a:graphicData uri="http://schemas.microsoft.com/office/word/2010/wordprocessingShape">
                    <wps:wsp>
                      <wps:cNvSpPr txBox="1"/>
                      <wps:spPr>
                        <a:xfrm>
                          <a:ext cx="1821815" cy="276860"/>
                        </a:xfrm>
                        <a:prstGeom prst="rect"/>
                        <a:noFill/>
                      </wps:spPr>
                      <wps:txbx>
                        <w:txbxContent>
                          <w:p>
                            <w:pPr>
                              <w:pStyle w:val="Style2"/>
                              <w:keepNext w:val="0"/>
                              <w:keepLines w:val="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 кЛЬНАЯ</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 МОНО! IО Л Ь ИЛЯ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97.700000000000003pt;margin-top:57.600000000000001pt;width:143.45000000000002pt;height:21.800000000000001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4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ФЕДЕР кЛЬНАЯ</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АНТИ МОНО! IО Л Ь ИЛЯ СЛУЖБА</w:t>
                      </w:r>
                    </w:p>
                  </w:txbxContent>
                </v:textbox>
                <w10:wrap type="square" anchorx="page"/>
              </v:shape>
            </w:pict>
          </mc:Fallback>
        </mc:AlternateContent>
      </w:r>
      <w:r>
        <mc:AlternateContent>
          <mc:Choice Requires="wps">
            <w:drawing>
              <wp:anchor distT="0" distB="0" distL="0" distR="0" simplePos="0" relativeHeight="125829381" behindDoc="0" locked="0" layoutInCell="1" allowOverlap="1">
                <wp:simplePos x="0" y="0"/>
                <wp:positionH relativeFrom="page">
                  <wp:posOffset>1035050</wp:posOffset>
                </wp:positionH>
                <wp:positionV relativeFrom="paragraph">
                  <wp:posOffset>1108710</wp:posOffset>
                </wp:positionV>
                <wp:extent cx="2242820" cy="436880"/>
                <wp:wrapSquare wrapText="bothSides"/>
                <wp:docPr id="5" name="Shape 5"/>
                <a:graphic xmlns:a="http://schemas.openxmlformats.org/drawingml/2006/main">
                  <a:graphicData uri="http://schemas.microsoft.com/office/word/2010/wordprocessingShape">
                    <wps:wsp>
                      <wps:cNvSpPr txBox="1"/>
                      <wps:spPr>
                        <a:xfrm>
                          <a:ext cx="2242820" cy="4368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УПРАВЛЕНИЕ</w:t>
                              <w:br/>
                              <w:t>Федеральной ан &gt; «монопольной службы</w:t>
                              <w:br/>
                              <w:t>по Ростовской области</w:t>
                            </w:r>
                          </w:p>
                        </w:txbxContent>
                      </wps:txbx>
                      <wps:bodyPr lIns="0" tIns="0" rIns="0" bIns="0">
                        <a:noAutoFit/>
                      </wps:bodyPr>
                    </wps:wsp>
                  </a:graphicData>
                </a:graphic>
              </wp:anchor>
            </w:drawing>
          </mc:Choice>
          <mc:Fallback>
            <w:pict>
              <v:shape id="_x0000_s1031" type="#_x0000_t202" style="position:absolute;margin-left:81.5pt;margin-top:87.299999999999997pt;width:176.59999999999999pt;height:34.399999999999999pt;z-index:-125829372;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УПРАВЛЕНИЕ</w:t>
                        <w:br/>
                        <w:t>Федеральной ан &gt; «монопольной службы</w:t>
                        <w:br/>
                        <w:t>по Ростовской области</w:t>
                      </w:r>
                    </w:p>
                  </w:txbxContent>
                </v:textbox>
                <w10:wrap type="square" anchorx="page"/>
              </v:shape>
            </w:pict>
          </mc:Fallback>
        </mc:AlternateContent>
      </w:r>
    </w:p>
    <w:p>
      <w:pPr>
        <w:pStyle w:val="Style6"/>
        <w:keepNext w:val="0"/>
        <w:keepLines w:val="0"/>
        <w:widowControl w:val="0"/>
        <w:shd w:val="clear" w:color="auto" w:fill="auto"/>
        <w:bidi w:val="0"/>
        <w:spacing w:before="0" w:after="0" w:line="264" w:lineRule="auto"/>
        <w:ind w:left="1420" w:right="0" w:firstLine="0"/>
        <w:jc w:val="left"/>
      </w:pPr>
      <w:r>
        <w:rPr>
          <w:color w:val="000000"/>
          <w:spacing w:val="0"/>
          <w:w w:val="100"/>
          <w:position w:val="0"/>
          <w:shd w:val="clear" w:color="auto" w:fill="auto"/>
          <w:lang w:val="ru-RU" w:eastAsia="ru-RU" w:bidi="ru-RU"/>
        </w:rPr>
        <w:t>ООО РД "Единство" (далее - Заявитель) 125493, г. Москва, вн. тер. г. муниципальный округ Головинский, улица Смольная, д. 2, помещение 6Н/10</w:t>
      </w:r>
    </w:p>
    <w:p>
      <w:pPr>
        <w:pStyle w:val="Style6"/>
        <w:keepNext w:val="0"/>
        <w:keepLines w:val="0"/>
        <w:widowControl w:val="0"/>
        <w:shd w:val="clear" w:color="auto" w:fill="auto"/>
        <w:bidi w:val="0"/>
        <w:spacing w:before="0" w:after="0" w:line="264" w:lineRule="auto"/>
        <w:ind w:left="1420" w:right="0" w:firstLine="0"/>
        <w:jc w:val="left"/>
        <w:sectPr>
          <w:footerReference w:type="default" r:id="rId7"/>
          <w:footerReference w:type="first" r:id="rId8"/>
          <w:footnotePr>
            <w:pos w:val="pageBottom"/>
            <w:numFmt w:val="decimal"/>
            <w:numRestart w:val="continuous"/>
          </w:footnotePr>
          <w:pgSz w:w="11900" w:h="16840"/>
          <w:pgMar w:top="313" w:right="367" w:bottom="1197" w:left="5161" w:header="0" w:footer="3" w:gutter="0"/>
          <w:pgNumType w:start="1"/>
          <w:cols w:space="720"/>
          <w:noEndnote/>
          <w:titlePg/>
          <w:rtlGutter w:val="0"/>
          <w:docGrid w:linePitch="360"/>
        </w:sectPr>
      </w:pPr>
      <w:r>
        <w:rPr>
          <w:color w:val="000000"/>
          <w:spacing w:val="0"/>
          <w:w w:val="100"/>
          <w:position w:val="0"/>
          <w:u w:val="single"/>
          <w:shd w:val="clear" w:color="auto" w:fill="auto"/>
          <w:lang w:val="ru-RU" w:eastAsia="ru-RU" w:bidi="ru-RU"/>
        </w:rPr>
        <w:t>е&amp;п51уогес1@та11.ги</w:t>
      </w:r>
    </w:p>
    <w:p>
      <w:pPr>
        <w:widowControl w:val="0"/>
        <w:spacing w:line="21" w:lineRule="exact"/>
        <w:rPr>
          <w:sz w:val="2"/>
          <w:szCs w:val="2"/>
        </w:rPr>
      </w:pPr>
    </w:p>
    <w:p>
      <w:pPr>
        <w:widowControl w:val="0"/>
        <w:spacing w:line="1" w:lineRule="exact"/>
        <w:sectPr>
          <w:footnotePr>
            <w:pos w:val="pageBottom"/>
            <w:numFmt w:val="decimal"/>
            <w:numRestart w:val="continuous"/>
          </w:footnotePr>
          <w:type w:val="continuous"/>
          <w:pgSz w:w="11900" w:h="16840"/>
          <w:pgMar w:top="313" w:right="0" w:bottom="1197" w:left="0" w:header="0" w:footer="3" w:gutter="0"/>
          <w:cols w:space="720"/>
          <w:noEndnote/>
          <w:rtlGutter w:val="0"/>
          <w:docGrid w:linePitch="360"/>
        </w:sectPr>
      </w:pPr>
    </w:p>
    <w:p>
      <w:pPr>
        <w:pStyle w:val="Style2"/>
        <w:keepNext w:val="0"/>
        <w:keepLines w:val="0"/>
        <w:widowControl w:val="0"/>
        <w:shd w:val="clear" w:color="auto" w:fill="auto"/>
        <w:tabs>
          <w:tab w:pos="1321" w:val="left"/>
        </w:tabs>
        <w:bidi w:val="0"/>
        <w:spacing w:before="0" w:after="0" w:line="240" w:lineRule="auto"/>
        <w:ind w:left="0" w:right="0" w:firstLine="0"/>
        <w:jc w:val="center"/>
        <w:rPr>
          <w:sz w:val="14"/>
          <w:szCs w:val="14"/>
        </w:rPr>
      </w:pPr>
      <w:r>
        <w:rPr>
          <w:rFonts w:ascii="Segoe UI" w:eastAsia="Segoe UI" w:hAnsi="Segoe UI" w:cs="Segoe UI"/>
          <w:color w:val="000000"/>
          <w:spacing w:val="0"/>
          <w:w w:val="100"/>
          <w:position w:val="0"/>
          <w:sz w:val="14"/>
          <w:szCs w:val="14"/>
          <w:shd w:val="clear" w:color="auto" w:fill="auto"/>
          <w:lang w:val="ru-RU" w:eastAsia="ru-RU" w:bidi="ru-RU"/>
        </w:rPr>
        <w:t>гр. Л</w:t>
        <w:tab/>
        <w:t>”. 2 '2, о [ Л.З</w:t>
      </w:r>
    </w:p>
    <w:p>
      <w:pPr>
        <w:pStyle w:val="Style2"/>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ru-RU" w:eastAsia="ru-RU" w:bidi="ru-RU"/>
        </w:rPr>
        <w:t xml:space="preserve">Г. Рек. 11-Е 112-Д’ </w:t>
      </w:r>
      <w:r>
        <w:rPr>
          <w:i/>
          <w:iCs/>
          <w:color w:val="000000"/>
          <w:spacing w:val="0"/>
          <w:w w:val="100"/>
          <w:position w:val="0"/>
          <w:sz w:val="15"/>
          <w:szCs w:val="15"/>
          <w:shd w:val="clear" w:color="auto" w:fill="auto"/>
          <w:lang w:val="ru-RU" w:eastAsia="ru-RU" w:bidi="ru-RU"/>
        </w:rPr>
        <w:t>-у.</w:t>
      </w:r>
      <w:r>
        <w:rPr>
          <w:color w:val="000000"/>
          <w:spacing w:val="0"/>
          <w:w w:val="100"/>
          <w:position w:val="0"/>
          <w:sz w:val="15"/>
          <w:szCs w:val="15"/>
          <w:shd w:val="clear" w:color="auto" w:fill="auto"/>
          <w:lang w:val="ru-RU" w:eastAsia="ru-RU" w:bidi="ru-RU"/>
        </w:rPr>
        <w:t xml:space="preserve"> 34 • Х'6</w:t>
      </w:r>
    </w:p>
    <w:p>
      <w:pPr>
        <w:pStyle w:val="Style2"/>
        <w:keepNext w:val="0"/>
        <w:keepLines w:val="0"/>
        <w:widowControl w:val="0"/>
        <w:shd w:val="clear" w:color="auto" w:fill="auto"/>
        <w:tabs>
          <w:tab w:pos="1760" w:val="left"/>
        </w:tabs>
        <w:bidi w:val="0"/>
        <w:spacing w:before="0" w:after="0" w:line="240" w:lineRule="auto"/>
        <w:ind w:left="0" w:right="0" w:firstLine="0"/>
        <w:jc w:val="center"/>
        <w:rPr>
          <w:sz w:val="14"/>
          <w:szCs w:val="14"/>
        </w:rPr>
      </w:pPr>
      <w:r>
        <w:rPr>
          <w:rFonts w:ascii="Segoe UI" w:eastAsia="Segoe UI" w:hAnsi="Segoe UI" w:cs="Segoe UI"/>
          <w:color w:val="000000"/>
          <w:spacing w:val="0"/>
          <w:w w:val="100"/>
          <w:position w:val="0"/>
          <w:sz w:val="14"/>
          <w:szCs w:val="14"/>
          <w:shd w:val="clear" w:color="auto" w:fill="auto"/>
          <w:lang w:val="ru-RU" w:eastAsia="ru-RU" w:bidi="ru-RU"/>
        </w:rPr>
        <w:t>г-;л. (Е63) 263-31-01,</w:t>
        <w:tab/>
        <w:t>с (5-53') 24-3 99-59</w:t>
      </w:r>
    </w:p>
    <w:p>
      <w:pPr>
        <w:pStyle w:val="Style2"/>
        <w:keepNext w:val="0"/>
        <w:keepLines w:val="0"/>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ru-RU" w:eastAsia="ru-RU" w:bidi="ru-RU"/>
        </w:rPr>
        <w:t>с-п:.ч1: к 613Гай.5ОУ.П1</w:t>
      </w:r>
    </w:p>
    <w:p>
      <w:pPr>
        <w:pStyle w:val="Style15"/>
        <w:keepNext/>
        <w:keepLines/>
        <w:widowControl w:val="0"/>
        <w:shd w:val="clear" w:color="auto" w:fill="auto"/>
        <w:tabs>
          <w:tab w:pos="1760"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04.05.2023</w:t>
        <w:tab/>
        <w:t xml:space="preserve">№ </w:t>
      </w:r>
      <w:r>
        <w:rPr>
          <w:color w:val="000000"/>
          <w:spacing w:val="0"/>
          <w:w w:val="100"/>
          <w:position w:val="0"/>
          <w:u w:val="single"/>
          <w:shd w:val="clear" w:color="auto" w:fill="auto"/>
          <w:lang w:val="ru-RU" w:eastAsia="ru-RU" w:bidi="ru-RU"/>
        </w:rPr>
        <w:t>НК/71</w:t>
      </w:r>
      <w:r>
        <w:rPr>
          <w:color w:val="000000"/>
          <w:spacing w:val="0"/>
          <w:w w:val="100"/>
          <w:position w:val="0"/>
          <w:shd w:val="clear" w:color="auto" w:fill="auto"/>
          <w:lang w:val="ru-RU" w:eastAsia="ru-RU" w:bidi="ru-RU"/>
        </w:rPr>
        <w:t>45/23</w:t>
      </w:r>
      <w:bookmarkEnd w:id="0"/>
    </w:p>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На №от</w:t>
      </w:r>
    </w:p>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ГБУ "КДЦ "Здоровье" в г. Ростове-на-Дону (далее - Заказчик)</w:t>
      </w:r>
    </w:p>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344011, г. Ростов-на-Дону, пер.</w:t>
      </w:r>
    </w:p>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Доломановский, 70/3</w:t>
      </w:r>
    </w:p>
    <w:p>
      <w:pPr>
        <w:pStyle w:val="Style6"/>
        <w:keepNext w:val="0"/>
        <w:keepLines w:val="0"/>
        <w:widowControl w:val="0"/>
        <w:shd w:val="clear" w:color="auto" w:fill="auto"/>
        <w:bidi w:val="0"/>
        <w:spacing w:before="0" w:after="260" w:line="271" w:lineRule="auto"/>
        <w:ind w:left="0" w:right="0" w:firstLine="0"/>
        <w:jc w:val="left"/>
      </w:pPr>
      <w:r>
        <w:rPr>
          <w:color w:val="000000"/>
          <w:spacing w:val="0"/>
          <w:w w:val="100"/>
          <w:position w:val="0"/>
          <w:shd w:val="clear" w:color="auto" w:fill="auto"/>
          <w:lang w:val="ru-RU" w:eastAsia="ru-RU" w:bidi="ru-RU"/>
        </w:rPr>
        <w:t>1гас1е@сеп1:ег-2с1огоу1е.ги</w:t>
      </w:r>
    </w:p>
    <w:p>
      <w:pPr>
        <w:pStyle w:val="Style6"/>
        <w:keepNext w:val="0"/>
        <w:keepLines w:val="0"/>
        <w:widowControl w:val="0"/>
        <w:shd w:val="clear" w:color="auto" w:fill="auto"/>
        <w:bidi w:val="0"/>
        <w:spacing w:before="0" w:after="0" w:line="271" w:lineRule="auto"/>
        <w:ind w:left="0" w:right="0" w:firstLine="0"/>
        <w:jc w:val="left"/>
      </w:pPr>
      <w:r>
        <w:rPr>
          <w:color w:val="000000"/>
          <w:spacing w:val="0"/>
          <w:w w:val="100"/>
          <w:position w:val="0"/>
          <w:shd w:val="clear" w:color="auto" w:fill="auto"/>
          <w:lang w:val="ru-RU" w:eastAsia="ru-RU" w:bidi="ru-RU"/>
        </w:rPr>
        <w:t>АО «Сбербанк-АСТ» (далее - Оператор)</w:t>
      </w:r>
    </w:p>
    <w:p>
      <w:pPr>
        <w:pStyle w:val="Style6"/>
        <w:keepNext w:val="0"/>
        <w:keepLines w:val="0"/>
        <w:widowControl w:val="0"/>
        <w:shd w:val="clear" w:color="auto" w:fill="auto"/>
        <w:bidi w:val="0"/>
        <w:spacing w:before="0" w:after="0" w:line="271" w:lineRule="auto"/>
        <w:ind w:left="0" w:right="0" w:firstLine="0"/>
        <w:jc w:val="left"/>
        <w:sectPr>
          <w:footnotePr>
            <w:pos w:val="pageBottom"/>
            <w:numFmt w:val="decimal"/>
            <w:numRestart w:val="continuous"/>
          </w:footnotePr>
          <w:type w:val="continuous"/>
          <w:pgSz w:w="11900" w:h="16840"/>
          <w:pgMar w:top="313" w:right="839" w:bottom="1197" w:left="1306" w:header="0" w:footer="3" w:gutter="0"/>
          <w:cols w:num="2" w:space="770"/>
          <w:noEndnote/>
          <w:rtlGutter w:val="0"/>
          <w:docGrid w:linePitch="360"/>
        </w:sectPr>
      </w:pPr>
      <w:r>
        <w:rPr>
          <w:color w:val="000000"/>
          <w:spacing w:val="0"/>
          <w:w w:val="100"/>
          <w:position w:val="0"/>
          <w:shd w:val="clear" w:color="auto" w:fill="auto"/>
          <w:lang w:val="ru-RU" w:eastAsia="ru-RU" w:bidi="ru-RU"/>
        </w:rPr>
        <w:t>ко@8ЪегЬапк-а81.ги</w:t>
      </w:r>
    </w:p>
    <w:p>
      <w:pPr>
        <w:widowControl w:val="0"/>
        <w:spacing w:line="157" w:lineRule="exact"/>
        <w:rPr>
          <w:sz w:val="13"/>
          <w:szCs w:val="13"/>
        </w:rPr>
      </w:pPr>
    </w:p>
    <w:p>
      <w:pPr>
        <w:widowControl w:val="0"/>
        <w:spacing w:line="1" w:lineRule="exact"/>
        <w:sectPr>
          <w:footnotePr>
            <w:pos w:val="pageBottom"/>
            <w:numFmt w:val="decimal"/>
            <w:numRestart w:val="continuous"/>
          </w:footnotePr>
          <w:type w:val="continuous"/>
          <w:pgSz w:w="11900" w:h="16840"/>
          <w:pgMar w:top="1055" w:right="0" w:bottom="1217"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результатам рассмотрения дела № 061/06/49-1483/2023</w:t>
      </w:r>
    </w:p>
    <w:p>
      <w:pPr>
        <w:pStyle w:val="Style6"/>
        <w:keepNext w:val="0"/>
        <w:keepLines w:val="0"/>
        <w:widowControl w:val="0"/>
        <w:shd w:val="clear" w:color="auto" w:fill="auto"/>
        <w:tabs>
          <w:tab w:pos="5036" w:val="left"/>
          <w:tab w:pos="8330" w:val="left"/>
        </w:tabs>
        <w:bidi w:val="0"/>
        <w:spacing w:before="0" w:after="0" w:line="264" w:lineRule="auto"/>
        <w:ind w:left="0" w:right="0" w:firstLine="0"/>
        <w:jc w:val="both"/>
      </w:pPr>
      <w:r>
        <w:rPr>
          <w:color w:val="000000"/>
          <w:spacing w:val="0"/>
          <w:w w:val="100"/>
          <w:position w:val="0"/>
          <w:shd w:val="clear" w:color="auto" w:fill="auto"/>
          <w:lang w:val="ru-RU" w:eastAsia="ru-RU" w:bidi="ru-RU"/>
        </w:rPr>
        <w:t>28.04.2023</w:t>
        <w:tab/>
        <w:t>•</w:t>
        <w:tab/>
        <w:t>г. Ростов-на-Дону</w:t>
      </w:r>
    </w:p>
    <w:p>
      <w:pPr>
        <w:pStyle w:val="Style6"/>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6"/>
        <w:keepNext w:val="0"/>
        <w:keepLines w:val="0"/>
        <w:widowControl w:val="0"/>
        <w:shd w:val="clear" w:color="auto" w:fill="auto"/>
        <w:tabs>
          <w:tab w:pos="8541" w:val="left"/>
        </w:tabs>
        <w:bidi w:val="0"/>
        <w:spacing w:before="0" w:after="0" w:line="264" w:lineRule="auto"/>
        <w:ind w:left="0" w:right="0" w:firstLine="740"/>
        <w:jc w:val="both"/>
      </w:pPr>
      <w:r>
        <w:rPr>
          <w:color w:val="000000"/>
          <w:spacing w:val="0"/>
          <w:w w:val="100"/>
          <w:position w:val="0"/>
          <w:shd w:val="clear" w:color="auto" w:fill="auto"/>
          <w:lang w:val="ru-RU" w:eastAsia="ru-RU" w:bidi="ru-RU"/>
        </w:rPr>
        <w:t>Председатель Комиссии:</w:t>
        <w:tab/>
        <w:t>Н.А. Кожемяко,</w:t>
      </w:r>
    </w:p>
    <w:p>
      <w:pPr>
        <w:pStyle w:val="Style6"/>
        <w:keepNext w:val="0"/>
        <w:keepLines w:val="0"/>
        <w:widowControl w:val="0"/>
        <w:shd w:val="clear" w:color="auto" w:fill="auto"/>
        <w:tabs>
          <w:tab w:pos="8541" w:val="left"/>
        </w:tabs>
        <w:bidi w:val="0"/>
        <w:spacing w:before="0" w:after="0" w:line="264" w:lineRule="auto"/>
        <w:ind w:left="0" w:right="0" w:firstLine="740"/>
        <w:jc w:val="both"/>
      </w:pPr>
      <w:r>
        <w:rPr>
          <w:color w:val="000000"/>
          <w:spacing w:val="0"/>
          <w:w w:val="100"/>
          <w:position w:val="0"/>
          <w:shd w:val="clear" w:color="auto" w:fill="auto"/>
          <w:lang w:val="ru-RU" w:eastAsia="ru-RU" w:bidi="ru-RU"/>
        </w:rPr>
        <w:t>Члены Комиссии:</w:t>
        <w:tab/>
        <w:t>С.А. Евстратова,</w:t>
      </w:r>
    </w:p>
    <w:p>
      <w:pPr>
        <w:pStyle w:val="Style6"/>
        <w:keepNext w:val="0"/>
        <w:keepLines w:val="0"/>
        <w:widowControl w:val="0"/>
        <w:shd w:val="clear" w:color="auto" w:fill="auto"/>
        <w:bidi w:val="0"/>
        <w:spacing w:before="0" w:after="280" w:line="264" w:lineRule="auto"/>
        <w:ind w:left="0" w:right="0" w:firstLine="8460"/>
        <w:jc w:val="both"/>
      </w:pPr>
      <w:r>
        <w:rPr>
          <w:color w:val="000000"/>
          <w:spacing w:val="0"/>
          <w:w w:val="100"/>
          <w:position w:val="0"/>
          <w:shd w:val="clear" w:color="auto" w:fill="auto"/>
          <w:lang w:val="ru-RU" w:eastAsia="ru-RU" w:bidi="ru-RU"/>
        </w:rPr>
        <w:t>А.А. Михарская, рассмотрев дело № 061/06/49-1483/2023 по жалобе Заявителя о нарушении конкурсной комиссией Заказчика при проведении открытого конкурса в электронной форме № 0358300132523000089 «Оказание услуг по физической охране объектов ГБУ РО "КДЦ "Здоровье" в городе Ростове-на- Дону»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представителя Заявителя - Бахтиной А.И. (доверенность от 08.12.2022 г. № 08-12/2022); при личном участии представителя Заказчика — Косухина Р.В. (доверенность от 27.04.2023 г. № 183),</w:t>
      </w:r>
    </w:p>
    <w:p>
      <w:pPr>
        <w:pStyle w:val="Style6"/>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Ростовское УФАС России поступила жалоба Заявителя на действия конкурсной комиссии Заказчика, выразившиеся в признании заявки участника закупки не соответствующей положениям Извещения и Закона.</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 в возражениях на жалобу: разъяснил, как осуществлялись рассмотрение и оценка заявок; представил пояснения по доводам жалобы.</w:t>
      </w:r>
    </w:p>
    <w:p>
      <w:pPr>
        <w:pStyle w:val="Style6"/>
        <w:keepNext w:val="0"/>
        <w:keepLines w:val="0"/>
        <w:widowControl w:val="0"/>
        <w:shd w:val="clear" w:color="auto" w:fill="auto"/>
        <w:bidi w:val="0"/>
        <w:spacing w:before="0" w:after="180"/>
        <w:ind w:left="0" w:right="0" w:firstLine="740"/>
        <w:jc w:val="both"/>
      </w:pPr>
      <w:r>
        <w:rPr>
          <w:color w:val="000000"/>
          <w:spacing w:val="0"/>
          <w:w w:val="100"/>
          <w:position w:val="0"/>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 727/14, в ходе рассмотрения дела установлено следующее.</w:t>
      </w:r>
    </w:p>
    <w:p>
      <w:pPr>
        <w:pStyle w:val="Style18"/>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Заказчиком в Единой информационной системе (ЕИС) на официальном сайте \у\у\у.2акирк1.§оу.ги 02.04.2023 г. размещено Извещение об осуществлении закупки, согласно которому: установлены дата и время окончания подачи заявок - 18.04.2023 09:00; начальная (максимальная) цена контракта составила 45 478 633,22 рублей.</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 xml:space="preserve">Согласно протоколу рассмотрения и оценки вторых частей заявок на участие в открытом конкурсе в электронной форме от 19.04.2023 г. на участие в закупке поступило 5 заявок; 2 заявки признаны несоответствующими требованиям Закона и Извещения, в том числе: заявка № 233 (Заявитель) с обоснованием: </w:t>
      </w:r>
      <w:r>
        <w:rPr>
          <w:i/>
          <w:iCs/>
          <w:color w:val="000000"/>
          <w:spacing w:val="0"/>
          <w:w w:val="100"/>
          <w:position w:val="0"/>
          <w:shd w:val="clear" w:color="auto" w:fill="auto"/>
          <w:lang w:val="ru-RU" w:eastAsia="ru-RU" w:bidi="ru-RU"/>
        </w:rPr>
        <w:t>«На основании п.7 ч.12 ст. 48 - отказ в принятии независимой гарантии (1. Несоответствие независимой гарантии условиям, указанным в части 2 статьи 45 Федерального закона в части отсутствия в независимой гарантии обязательств принципала, надлежащее исполнение которых обеспечивается независимой гарантией. Предоставленная независимая гарантия оформлена в соответствии с требованиями Федерального закона 44-ФЗ в устаревшей редакции, то есть в п. 3 гарантии указан неполный перечень случаев обязательств принципала, надлежащее исполнение которых ею обеспечивается, то есть ссылка на п.</w:t>
      </w:r>
      <w:r>
        <w:rPr>
          <w:color w:val="000000"/>
          <w:spacing w:val="0"/>
          <w:w w:val="100"/>
          <w:position w:val="0"/>
          <w:shd w:val="clear" w:color="auto" w:fill="auto"/>
          <w:lang w:val="ru-RU" w:eastAsia="ru-RU" w:bidi="ru-RU"/>
        </w:rPr>
        <w:t xml:space="preserve"> 7 </w:t>
      </w:r>
      <w:r>
        <w:rPr>
          <w:i/>
          <w:iCs/>
          <w:color w:val="000000"/>
          <w:spacing w:val="0"/>
          <w:w w:val="100"/>
          <w:position w:val="0"/>
          <w:shd w:val="clear" w:color="auto" w:fill="auto"/>
          <w:lang w:val="ru-RU" w:eastAsia="ru-RU" w:bidi="ru-RU"/>
        </w:rPr>
        <w:t>части 10 и часть 13 ст. 44 Федерального закона некорректна, так как не подразумевает под собой весь перечень обязательств принципала, установленных п. 1 ч. 2 ст. 45 Федерального закона.)».</w:t>
      </w:r>
    </w:p>
    <w:p>
      <w:pPr>
        <w:pStyle w:val="Style6"/>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Согласно протоколу подведения итогов закупки от 20.04.2023 г. победителем закупки признан участник № 122.</w:t>
      </w:r>
    </w:p>
    <w:p>
      <w:pPr>
        <w:pStyle w:val="Style6"/>
        <w:keepNext w:val="0"/>
        <w:keepLines w:val="0"/>
        <w:widowControl w:val="0"/>
        <w:shd w:val="clear" w:color="auto" w:fill="auto"/>
        <w:bidi w:val="0"/>
        <w:spacing w:before="0" w:after="260"/>
        <w:ind w:left="0" w:right="0" w:firstLine="740"/>
        <w:jc w:val="both"/>
      </w:pPr>
      <w:r>
        <w:rPr>
          <w:color w:val="000000"/>
          <w:spacing w:val="0"/>
          <w:w w:val="100"/>
          <w:position w:val="0"/>
          <w:shd w:val="clear" w:color="auto" w:fill="auto"/>
          <w:lang w:val="ru-RU" w:eastAsia="ru-RU" w:bidi="ru-RU"/>
        </w:rPr>
        <w:t>Контракт по итогам закупки на момент рассмотрения жалобы не заключен.</w:t>
      </w:r>
    </w:p>
    <w:p>
      <w:pPr>
        <w:pStyle w:val="Style6"/>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Согласно доводу жалобы Заявитель указал, что его заявка соответствует положениям Извещения, вместе с тем была признана несоответствующей требованиям Извещения, в нарушение Закона. Так, Заявителем предоставлена в качестве обеспечения заявки независимая гарантия, соответствующая Типовой форме, утвержденной Постановлением Правительства РФ от 08.11.2013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Типовая форма), требованиям Извещения и Закона.</w:t>
      </w:r>
    </w:p>
    <w:p>
      <w:pPr>
        <w:pStyle w:val="Style6"/>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Пунктами 1-8 ч. 12 ст. 48 Закона предусмотрены основания для отклонения заявки.</w:t>
      </w:r>
    </w:p>
    <w:p>
      <w:pPr>
        <w:pStyle w:val="Style6"/>
        <w:keepNext w:val="0"/>
        <w:keepLines w:val="0"/>
        <w:widowControl w:val="0"/>
        <w:shd w:val="clear" w:color="auto" w:fill="auto"/>
        <w:bidi w:val="0"/>
        <w:spacing w:before="0" w:after="0" w:line="264" w:lineRule="auto"/>
        <w:ind w:left="0" w:right="0" w:firstLine="740"/>
        <w:jc w:val="both"/>
      </w:pPr>
      <w:r>
        <w:rPr>
          <w:color w:val="000000"/>
          <w:spacing w:val="0"/>
          <w:w w:val="100"/>
          <w:position w:val="0"/>
          <w:shd w:val="clear" w:color="auto" w:fill="auto"/>
          <w:lang w:val="ru-RU" w:eastAsia="ru-RU" w:bidi="ru-RU"/>
        </w:rPr>
        <w:t>В силу п. 7 ч. 12 ст. 48 Закона при рассмотрении вторых частей заявок на участие в закупке соответствующая заявка подлежит отклонению в случаях, предусмотренных ч. 6 ст. 45 Закона.</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Согласно ч. 6 ст. 45 Закона основанием для отказа в принятии независимой гарантии заказчиком является:</w:t>
      </w:r>
    </w:p>
    <w:p>
      <w:pPr>
        <w:pStyle w:val="Style6"/>
        <w:keepNext w:val="0"/>
        <w:keepLines w:val="0"/>
        <w:widowControl w:val="0"/>
        <w:numPr>
          <w:ilvl w:val="0"/>
          <w:numId w:val="1"/>
        </w:numPr>
        <w:shd w:val="clear" w:color="auto" w:fill="auto"/>
        <w:tabs>
          <w:tab w:pos="950" w:val="left"/>
        </w:tabs>
        <w:bidi w:val="0"/>
        <w:spacing w:before="0" w:after="0" w:line="264" w:lineRule="auto"/>
        <w:ind w:left="0" w:right="0" w:firstLine="660"/>
        <w:jc w:val="both"/>
      </w:pPr>
      <w:r>
        <w:rPr>
          <w:color w:val="000000"/>
          <w:spacing w:val="0"/>
          <w:w w:val="100"/>
          <w:position w:val="0"/>
          <w:shd w:val="clear" w:color="auto" w:fill="auto"/>
          <w:lang w:val="ru-RU" w:eastAsia="ru-RU" w:bidi="ru-RU"/>
        </w:rPr>
        <w:t>отсутствие информации о независимой гарантии в предусмотренных настоящей статьей реестрах независимых гарантий;</w:t>
      </w:r>
    </w:p>
    <w:p>
      <w:pPr>
        <w:pStyle w:val="Style6"/>
        <w:keepNext w:val="0"/>
        <w:keepLines w:val="0"/>
        <w:widowControl w:val="0"/>
        <w:numPr>
          <w:ilvl w:val="0"/>
          <w:numId w:val="1"/>
        </w:numPr>
        <w:shd w:val="clear" w:color="auto" w:fill="auto"/>
        <w:tabs>
          <w:tab w:pos="943" w:val="left"/>
        </w:tabs>
        <w:bidi w:val="0"/>
        <w:spacing w:before="0" w:after="0" w:line="264" w:lineRule="auto"/>
        <w:ind w:left="0" w:right="0" w:firstLine="660"/>
        <w:jc w:val="both"/>
      </w:pPr>
      <w:r>
        <w:rPr>
          <w:color w:val="000000"/>
          <w:spacing w:val="0"/>
          <w:w w:val="100"/>
          <w:position w:val="0"/>
          <w:shd w:val="clear" w:color="auto" w:fill="auto"/>
          <w:lang w:val="ru-RU" w:eastAsia="ru-RU" w:bidi="ru-RU"/>
        </w:rPr>
        <w:t>несоответствие независимой гарантии требованиям, предусмотренным частями 2, 3 и 8.2 настоящей статьи;</w:t>
      </w:r>
    </w:p>
    <w:p>
      <w:pPr>
        <w:pStyle w:val="Style6"/>
        <w:keepNext w:val="0"/>
        <w:keepLines w:val="0"/>
        <w:widowControl w:val="0"/>
        <w:numPr>
          <w:ilvl w:val="0"/>
          <w:numId w:val="1"/>
        </w:numPr>
        <w:shd w:val="clear" w:color="auto" w:fill="auto"/>
        <w:tabs>
          <w:tab w:pos="946" w:val="left"/>
        </w:tabs>
        <w:bidi w:val="0"/>
        <w:spacing w:before="0" w:after="0" w:line="264" w:lineRule="auto"/>
        <w:ind w:left="0" w:right="0" w:firstLine="660"/>
        <w:jc w:val="both"/>
      </w:pPr>
      <w:r>
        <w:rPr>
          <w:color w:val="000000"/>
          <w:spacing w:val="0"/>
          <w:w w:val="100"/>
          <w:position w:val="0"/>
          <w:shd w:val="clear" w:color="auto" w:fill="auto"/>
          <w:lang w:val="ru-RU" w:eastAsia="ru-RU" w:bidi="ru-RU"/>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Таким образом, конкурсная комиссия Заказчика, в силу Закона, обязана при рассмотрении заявки оценить независимую гарантию, на ее соответствие требованиям Извещения и Закона.</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В ходе заседания Комиссии представитель Заказчика пояснил, что независимая гарантия, предоставленная ООО РД "Единство" в качестве обеспечения заявки на участие в закупке, не соответствует требованиям Закона и Извещения в части включенных в текст дополнительных условий.</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В заседании Комиссии объявлен перерыв для дополнительного обоснования Заявителем своей позиции, с учетом возражений Заказчика. После перерыва заседание Комиссии продолжено.</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Представителем Заявителя доводы жалобы поддержаны. Вместе с тем, Заявитель пояснил, что дополнительные условия включены в независимую гарантию по инициативе банка.</w:t>
      </w:r>
    </w:p>
    <w:p>
      <w:pPr>
        <w:pStyle w:val="Style6"/>
        <w:keepNext w:val="0"/>
        <w:keepLines w:val="0"/>
        <w:widowControl w:val="0"/>
        <w:shd w:val="clear" w:color="auto" w:fill="auto"/>
        <w:bidi w:val="0"/>
        <w:spacing w:before="0" w:after="0" w:line="264" w:lineRule="auto"/>
        <w:ind w:left="0" w:right="0" w:firstLine="660"/>
        <w:jc w:val="both"/>
      </w:pPr>
      <w:r>
        <w:rPr>
          <w:color w:val="000000"/>
          <w:spacing w:val="0"/>
          <w:w w:val="100"/>
          <w:position w:val="0"/>
          <w:shd w:val="clear" w:color="auto" w:fill="auto"/>
          <w:lang w:val="ru-RU" w:eastAsia="ru-RU" w:bidi="ru-RU"/>
        </w:rPr>
        <w:t>Комиссия Ростовского УФАС России, оценивая довод жалобы, руководствуется следующим.</w:t>
      </w:r>
    </w:p>
    <w:p>
      <w:pPr>
        <w:pStyle w:val="Style6"/>
        <w:keepNext w:val="0"/>
        <w:keepLines w:val="0"/>
        <w:widowControl w:val="0"/>
        <w:shd w:val="clear" w:color="auto" w:fill="auto"/>
        <w:bidi w:val="0"/>
        <w:spacing w:before="0" w:after="0"/>
        <w:ind w:left="0" w:right="0" w:firstLine="680"/>
        <w:jc w:val="both"/>
      </w:pPr>
      <w:r>
        <w:rPr>
          <w:color w:val="000000"/>
          <w:spacing w:val="0"/>
          <w:w w:val="100"/>
          <w:position w:val="0"/>
          <w:shd w:val="clear" w:color="auto" w:fill="auto"/>
          <w:lang w:val="ru-RU" w:eastAsia="ru-RU" w:bidi="ru-RU"/>
        </w:rPr>
        <w:t>В силу ч. 2 ст. 45 Закона независимая гарантия должна быть безотзывной и должна содержать:</w:t>
      </w:r>
    </w:p>
    <w:p>
      <w:pPr>
        <w:pStyle w:val="Style6"/>
        <w:keepNext w:val="0"/>
        <w:keepLines w:val="0"/>
        <w:widowControl w:val="0"/>
        <w:numPr>
          <w:ilvl w:val="0"/>
          <w:numId w:val="3"/>
        </w:numPr>
        <w:shd w:val="clear" w:color="auto" w:fill="auto"/>
        <w:tabs>
          <w:tab w:pos="957" w:val="left"/>
        </w:tabs>
        <w:bidi w:val="0"/>
        <w:spacing w:before="0" w:after="0"/>
        <w:ind w:left="0" w:right="0" w:firstLine="680"/>
        <w:jc w:val="both"/>
      </w:pPr>
      <w:r>
        <w:rPr>
          <w:color w:val="000000"/>
          <w:spacing w:val="0"/>
          <w:w w:val="100"/>
          <w:position w:val="0"/>
          <w:shd w:val="clear" w:color="auto" w:fill="auto"/>
          <w:lang w:val="ru-RU" w:eastAsia="ru-RU" w:bidi="ru-RU"/>
        </w:rPr>
        <w:t>сумму независимой гарантии, подлежащую уплате гарантом заказчику в установленных статьей 44 настоящего Федерального закона случаях для предъявления требования об уплате денежной суммы по независимой гарантии, предоставленной для обеспечения заявки на участие в закупке, или сумму независимой гарантии, подлежащую уплате гарантом заказчику в случае ненадлежащего исполнения обязательств принципалом в соответствии со статьей 96 настоящего Федерального закона, а также идентификационный код закупки, при осуществлении которой предоставляется такая независимая гарантия;</w:t>
      </w:r>
    </w:p>
    <w:p>
      <w:pPr>
        <w:pStyle w:val="Style6"/>
        <w:keepNext w:val="0"/>
        <w:keepLines w:val="0"/>
        <w:widowControl w:val="0"/>
        <w:numPr>
          <w:ilvl w:val="0"/>
          <w:numId w:val="3"/>
        </w:numPr>
        <w:shd w:val="clear" w:color="auto" w:fill="auto"/>
        <w:tabs>
          <w:tab w:pos="954" w:val="left"/>
        </w:tabs>
        <w:bidi w:val="0"/>
        <w:spacing w:before="0" w:after="0"/>
        <w:ind w:left="0" w:right="0" w:firstLine="680"/>
        <w:jc w:val="both"/>
      </w:pPr>
      <w:r>
        <w:rPr>
          <w:color w:val="000000"/>
          <w:spacing w:val="0"/>
          <w:w w:val="100"/>
          <w:position w:val="0"/>
          <w:shd w:val="clear" w:color="auto" w:fill="auto"/>
          <w:lang w:val="ru-RU" w:eastAsia="ru-RU" w:bidi="ru-RU"/>
        </w:rPr>
        <w:t>обязательства принципала, надлежащее исполнение которых обеспечивается независимой гарантией;</w:t>
      </w:r>
    </w:p>
    <w:p>
      <w:pPr>
        <w:pStyle w:val="Style6"/>
        <w:keepNext w:val="0"/>
        <w:keepLines w:val="0"/>
        <w:widowControl w:val="0"/>
        <w:numPr>
          <w:ilvl w:val="0"/>
          <w:numId w:val="3"/>
        </w:numPr>
        <w:shd w:val="clear" w:color="auto" w:fill="auto"/>
        <w:tabs>
          <w:tab w:pos="961" w:val="left"/>
        </w:tabs>
        <w:bidi w:val="0"/>
        <w:spacing w:before="0" w:after="0"/>
        <w:ind w:left="0" w:right="0" w:firstLine="680"/>
        <w:jc w:val="both"/>
      </w:pPr>
      <w:r>
        <w:rPr>
          <w:color w:val="000000"/>
          <w:spacing w:val="0"/>
          <w:w w:val="100"/>
          <w:position w:val="0"/>
          <w:shd w:val="clear" w:color="auto" w:fill="auto"/>
          <w:lang w:val="ru-RU" w:eastAsia="ru-RU" w:bidi="ru-RU"/>
        </w:rPr>
        <w:t>обязанность гаранта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за каждый день просрочки уплатить заказчику неустойку в размере 0,1 процента денежной суммы, подлежащей уплате по такой независимой гарантии;</w:t>
      </w:r>
    </w:p>
    <w:p>
      <w:pPr>
        <w:pStyle w:val="Style6"/>
        <w:keepNext w:val="0"/>
        <w:keepLines w:val="0"/>
        <w:widowControl w:val="0"/>
        <w:numPr>
          <w:ilvl w:val="0"/>
          <w:numId w:val="3"/>
        </w:numPr>
        <w:shd w:val="clear" w:color="auto" w:fill="auto"/>
        <w:tabs>
          <w:tab w:pos="957" w:val="left"/>
        </w:tabs>
        <w:bidi w:val="0"/>
        <w:spacing w:before="0" w:after="0"/>
        <w:ind w:left="0" w:right="0" w:firstLine="680"/>
        <w:jc w:val="both"/>
      </w:pPr>
      <w:r>
        <w:rPr>
          <w:color w:val="000000"/>
          <w:spacing w:val="0"/>
          <w:w w:val="100"/>
          <w:position w:val="0"/>
          <w:shd w:val="clear" w:color="auto" w:fill="auto"/>
          <w:lang w:val="ru-RU" w:eastAsia="ru-RU" w:bidi="ru-RU"/>
        </w:rPr>
        <w:t>условие, согласно которому исполнением обязательств гаранта по независимой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pPr>
        <w:pStyle w:val="Style6"/>
        <w:keepNext w:val="0"/>
        <w:keepLines w:val="0"/>
        <w:widowControl w:val="0"/>
        <w:numPr>
          <w:ilvl w:val="0"/>
          <w:numId w:val="3"/>
        </w:numPr>
        <w:shd w:val="clear" w:color="auto" w:fill="auto"/>
        <w:tabs>
          <w:tab w:pos="950" w:val="left"/>
        </w:tabs>
        <w:bidi w:val="0"/>
        <w:spacing w:before="0" w:after="0"/>
        <w:ind w:left="0" w:right="0" w:firstLine="680"/>
        <w:jc w:val="both"/>
      </w:pPr>
      <w:r>
        <w:rPr>
          <w:color w:val="000000"/>
          <w:spacing w:val="0"/>
          <w:w w:val="100"/>
          <w:position w:val="0"/>
          <w:shd w:val="clear" w:color="auto" w:fill="auto"/>
          <w:lang w:val="ru-RU" w:eastAsia="ru-RU" w:bidi="ru-RU"/>
        </w:rPr>
        <w:t>срок действия независимой гарантии с учетом требований статей 44 и 96 настоящего Федерального закона;</w:t>
      </w:r>
    </w:p>
    <w:p>
      <w:pPr>
        <w:pStyle w:val="Style6"/>
        <w:keepNext w:val="0"/>
        <w:keepLines w:val="0"/>
        <w:widowControl w:val="0"/>
        <w:numPr>
          <w:ilvl w:val="0"/>
          <w:numId w:val="3"/>
        </w:numPr>
        <w:shd w:val="clear" w:color="auto" w:fill="auto"/>
        <w:tabs>
          <w:tab w:pos="957" w:val="left"/>
        </w:tabs>
        <w:bidi w:val="0"/>
        <w:spacing w:before="0" w:after="0"/>
        <w:ind w:left="0" w:right="0" w:firstLine="680"/>
        <w:jc w:val="both"/>
      </w:pPr>
      <w:r>
        <w:rPr>
          <w:color w:val="000000"/>
          <w:spacing w:val="0"/>
          <w:w w:val="100"/>
          <w:position w:val="0"/>
          <w:shd w:val="clear" w:color="auto" w:fill="auto"/>
          <w:lang w:val="ru-RU" w:eastAsia="ru-RU" w:bidi="ru-RU"/>
        </w:rPr>
        <w:t>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pPr>
        <w:pStyle w:val="Style6"/>
        <w:keepNext w:val="0"/>
        <w:keepLines w:val="0"/>
        <w:widowControl w:val="0"/>
        <w:numPr>
          <w:ilvl w:val="0"/>
          <w:numId w:val="3"/>
        </w:numPr>
        <w:shd w:val="clear" w:color="auto" w:fill="auto"/>
        <w:tabs>
          <w:tab w:pos="957" w:val="left"/>
        </w:tabs>
        <w:bidi w:val="0"/>
        <w:spacing w:before="0" w:after="0"/>
        <w:ind w:left="0" w:right="0" w:firstLine="680"/>
        <w:jc w:val="both"/>
      </w:pPr>
      <w:r>
        <w:rPr>
          <w:color w:val="000000"/>
          <w:spacing w:val="0"/>
          <w:w w:val="100"/>
          <w:position w:val="0"/>
          <w:shd w:val="clear" w:color="auto" w:fill="auto"/>
          <w:lang w:val="ru-RU" w:eastAsia="ru-RU" w:bidi="ru-RU"/>
        </w:rPr>
        <w:t>установленный Правительством Российской Федерации перечень документов, предоставляемых заказчиком гаранту одновременно с требованием об осуществлении уплаты денежной суммы по независимой гарантии.</w:t>
      </w:r>
    </w:p>
    <w:p>
      <w:pPr>
        <w:pStyle w:val="Style6"/>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 xml:space="preserve">Извещением о закупке установлен порядок внесения денежных средств в качестве обеспечения заявки на участие в закупке, а также условия гарантии: </w:t>
      </w:r>
      <w:r>
        <w:rPr>
          <w:i/>
          <w:iCs/>
          <w:color w:val="000000"/>
          <w:spacing w:val="0"/>
          <w:w w:val="100"/>
          <w:position w:val="0"/>
          <w:shd w:val="clear" w:color="auto" w:fill="auto"/>
          <w:lang w:val="ru-RU" w:eastAsia="ru-RU" w:bidi="ru-RU"/>
        </w:rPr>
        <w:t>«Обеспечение заявки на участие в закупке может предоставляться участником закупки в виде денежных средств или независимой гарантии, соответствующей требованиям статьи 45 Закона №44-ФЗ, а также постановления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(вместе с "Дополнительными требованиями к независимой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"Правилами ведения и размещения в единой информационной системе в сфере закупок реестра независимых гарантий", "Правилами формирования и ведения закрытого реестра независимых гарантий» (далее - ПП № 1005). Выбор способа обеспечения заявки на участие в закупке осуществляется участником закупки самостоятельно. Обеспечение заявки на участие в закупке предоставляется участником закупки в вышеуказанном размере в соответствии с требованиями, установленными статьей 44 Закона №44-ФЗ. Срок действия независимой гарантии должен составлять не менее месяца с даты окончания срока подачи заявок. Споры, возникающие в связи с исполнением обязательств по независимой гарантии, подлежат рассмотрению в Арбитражном суде Ростовской области. Государственные, муниципальные учреждения не предоставляют обеспечение подаваемых ими заявок на участие в закупке. Реквизиты счета для перечисления денежных средств в случае, предусмотренном частью 13 статьи 44 Закона № 44-ФЗ: указаны в Приложении №5 к Извещению».</w:t>
      </w:r>
    </w:p>
    <w:p>
      <w:pPr>
        <w:pStyle w:val="Style6"/>
        <w:keepNext w:val="0"/>
        <w:keepLines w:val="0"/>
        <w:widowControl w:val="0"/>
        <w:shd w:val="clear" w:color="auto" w:fill="auto"/>
        <w:bidi w:val="0"/>
        <w:spacing w:before="0" w:after="0"/>
        <w:ind w:left="0" w:right="0" w:firstLine="760"/>
        <w:jc w:val="both"/>
      </w:pPr>
      <w:r>
        <w:rPr>
          <w:color w:val="000000"/>
          <w:spacing w:val="0"/>
          <w:w w:val="100"/>
          <w:position w:val="0"/>
          <w:shd w:val="clear" w:color="auto" w:fill="auto"/>
          <w:lang w:val="ru-RU" w:eastAsia="ru-RU" w:bidi="ru-RU"/>
        </w:rPr>
        <w:t>Пунктом 16 Типовой формы предусмотрена возможность указания дополнительных</w:t>
        <w:br w:type="page"/>
      </w:r>
      <w:r>
        <w:rPr>
          <w:color w:val="000000"/>
          <w:spacing w:val="0"/>
          <w:w w:val="100"/>
          <w:position w:val="0"/>
          <w:shd w:val="clear" w:color="auto" w:fill="auto"/>
          <w:lang w:val="ru-RU" w:eastAsia="ru-RU" w:bidi="ru-RU"/>
        </w:rPr>
        <w:t>условий &lt;1&gt;, &lt;9&gt;.</w:t>
      </w:r>
    </w:p>
    <w:p>
      <w:pPr>
        <w:pStyle w:val="Style6"/>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&lt;1&gt; Указывается при наличии;</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 xml:space="preserve">&lt;9&gt; </w:t>
      </w:r>
      <w:r>
        <w:rPr>
          <w:color w:val="000000"/>
          <w:spacing w:val="0"/>
          <w:w w:val="100"/>
          <w:position w:val="0"/>
          <w:u w:val="single"/>
          <w:shd w:val="clear" w:color="auto" w:fill="auto"/>
          <w:lang w:val="ru-RU" w:eastAsia="ru-RU" w:bidi="ru-RU"/>
        </w:rPr>
        <w:t xml:space="preserve">Не должны противоречить положениям извещения об осуществлении закупки, </w:t>
      </w:r>
      <w:r>
        <w:rPr>
          <w:color w:val="000000"/>
          <w:spacing w:val="0"/>
          <w:w w:val="100"/>
          <w:position w:val="0"/>
          <w:shd w:val="clear" w:color="auto" w:fill="auto"/>
          <w:lang w:val="ru-RU" w:eastAsia="ru-RU" w:bidi="ru-RU"/>
        </w:rPr>
        <w:t>приглашения принять участие в определении поставщика (подрядчика, исполнителя),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проекта контракта, заключаемого с единственным поставщиком (подрядчиком, исполнителем) (при наличии).</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В составе конкурсной заявки ООО РД «Единство» предоставлена независимая гарантия № 70515-23КЭБГ/0004 от 14.04.2023 г., выданная АО КИВИ Банк, в которой указаны дополнительные условия, противоречащие положениям Извещения о закупке, ст. 42 Закона:</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16.1 Независимая гарантия прекращается по основаниям, предусмотренным действующим законодательством Российской Федерации:</w:t>
      </w:r>
    </w:p>
    <w:p>
      <w:pPr>
        <w:pStyle w:val="Style6"/>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1) уплатой бенефициару суммы, на которую выдана независимая гарантия;</w:t>
      </w:r>
    </w:p>
    <w:p>
      <w:pPr>
        <w:pStyle w:val="Style6"/>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3) вследствие отказа бенефициара от своих прав по независимой гарантии;</w:t>
      </w:r>
    </w:p>
    <w:p>
      <w:pPr>
        <w:pStyle w:val="Style6"/>
        <w:keepNext w:val="0"/>
        <w:keepLines w:val="0"/>
        <w:widowControl w:val="0"/>
        <w:shd w:val="clear" w:color="auto" w:fill="auto"/>
        <w:bidi w:val="0"/>
        <w:spacing w:before="0" w:after="0" w:line="266" w:lineRule="auto"/>
        <w:ind w:left="0" w:right="0" w:firstLine="720"/>
        <w:jc w:val="both"/>
      </w:pPr>
      <w:r>
        <w:rPr>
          <w:color w:val="000000"/>
          <w:spacing w:val="0"/>
          <w:w w:val="100"/>
          <w:position w:val="0"/>
          <w:shd w:val="clear" w:color="auto" w:fill="auto"/>
          <w:lang w:val="ru-RU" w:eastAsia="ru-RU" w:bidi="ru-RU"/>
        </w:rPr>
        <w:t>4) по соглашению гаранта с бенефициаром о прекращении этого обязательства.</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16.2 Гарант вправе увеличить сумму и/или срок действия независимой гарантии без согласия бенефициара. Все иные условия независимой гарантии могут быть изменены гарантом с письменного согласия бенефициара, заверенного его печатью.</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Таким образом, аукционная комиссия Заказчика, признавая данную заявку несоответствующей требованиям Закона и Извещения, действовала в соответствии с положениями ч. 12 ст. 48 Закона. Довод жалобы признан необоснованным.</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Вместе с тем, Заявитель вправе обжаловать действия банка, выдавшего независимую гарантию, в установленном Законом порядке.</w:t>
      </w:r>
    </w:p>
    <w:p>
      <w:pPr>
        <w:pStyle w:val="Style6"/>
        <w:keepNext w:val="0"/>
        <w:keepLines w:val="0"/>
        <w:widowControl w:val="0"/>
        <w:shd w:val="clear" w:color="auto" w:fill="auto"/>
        <w:bidi w:val="0"/>
        <w:spacing w:before="0" w:after="0" w:line="266" w:lineRule="auto"/>
        <w:ind w:left="0" w:right="0" w:firstLine="740"/>
        <w:jc w:val="both"/>
      </w:pPr>
      <w:r>
        <w:rPr>
          <w:color w:val="000000"/>
          <w:spacing w:val="0"/>
          <w:w w:val="100"/>
          <w:position w:val="0"/>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6"/>
        <w:keepNext w:val="0"/>
        <w:keepLines w:val="0"/>
        <w:widowControl w:val="0"/>
        <w:shd w:val="clear" w:color="auto" w:fill="auto"/>
        <w:bidi w:val="0"/>
        <w:spacing w:before="0" w:after="280" w:line="266" w:lineRule="auto"/>
        <w:ind w:left="0" w:right="0" w:firstLine="0"/>
        <w:jc w:val="center"/>
      </w:pPr>
      <w:r>
        <w:rPr>
          <w:color w:val="000000"/>
          <w:spacing w:val="0"/>
          <w:w w:val="100"/>
          <w:position w:val="0"/>
          <w:shd w:val="clear" w:color="auto" w:fill="auto"/>
          <w:lang w:val="ru-RU" w:eastAsia="ru-RU" w:bidi="ru-RU"/>
        </w:rPr>
        <w:t>РЕШИЛА:</w:t>
      </w:r>
    </w:p>
    <w:p>
      <w:pPr>
        <w:pStyle w:val="Style6"/>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1 Признать жалобу ООО РД «Единство» необоснованной.</w:t>
      </w:r>
    </w:p>
    <w:p>
      <w:pPr>
        <w:pStyle w:val="Style2"/>
        <w:keepNext w:val="0"/>
        <w:keepLines w:val="0"/>
        <w:widowControl w:val="0"/>
        <w:shd w:val="clear" w:color="auto" w:fill="auto"/>
        <w:bidi w:val="0"/>
        <w:spacing w:before="0" w:after="0" w:line="240" w:lineRule="auto"/>
        <w:ind w:left="0" w:right="0" w:firstLine="720"/>
        <w:jc w:val="both"/>
        <w:rPr>
          <w:sz w:val="19"/>
          <w:szCs w:val="19"/>
        </w:rPr>
        <w:sectPr>
          <w:footnotePr>
            <w:pos w:val="pageBottom"/>
            <w:numFmt w:val="decimal"/>
            <w:numRestart w:val="continuous"/>
          </w:footnotePr>
          <w:type w:val="continuous"/>
          <w:pgSz w:w="11900" w:h="16840"/>
          <w:pgMar w:top="1055" w:right="504" w:bottom="1217" w:left="1078" w:header="0" w:footer="3" w:gutter="0"/>
          <w:cols w:space="720"/>
          <w:noEndnote/>
          <w:rtlGutter w:val="0"/>
          <w:docGrid w:linePitch="360"/>
        </w:sectPr>
      </w:pPr>
      <w:r>
        <w:rPr>
          <w:color w:val="000000"/>
          <w:spacing w:val="0"/>
          <w:w w:val="100"/>
          <w:position w:val="0"/>
          <w:sz w:val="19"/>
          <w:szCs w:val="19"/>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6"/>
        <w:keepNext w:val="0"/>
        <w:keepLines w:val="0"/>
        <w:framePr w:w="2480" w:h="2048" w:wrap="none" w:vAnchor="text" w:hAnchor="page" w:x="1187" w:y="21"/>
        <w:widowControl w:val="0"/>
        <w:shd w:val="clear" w:color="auto" w:fill="auto"/>
        <w:bidi w:val="0"/>
        <w:spacing w:before="0" w:after="150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6"/>
        <w:keepNext w:val="0"/>
        <w:keepLines w:val="0"/>
        <w:framePr w:w="2480" w:h="2048" w:wrap="none" w:vAnchor="text" w:hAnchor="page" w:x="1187" w:y="21"/>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1"/>
        <w:keepNext w:val="0"/>
        <w:keepLines w:val="0"/>
        <w:framePr w:w="2711" w:h="410" w:wrap="none" w:vAnchor="text" w:hAnchor="page" w:x="4852" w:y="483"/>
        <w:widowControl w:val="0"/>
        <w:shd w:val="clear" w:color="auto" w:fill="auto"/>
        <w:bidi w:val="0"/>
        <w:spacing w:before="0" w:after="0"/>
        <w:ind w:left="0" w:right="0" w:firstLine="0"/>
        <w:jc w:val="left"/>
      </w:pPr>
      <w:r>
        <w:rPr>
          <w:color w:val="000000"/>
          <w:spacing w:val="0"/>
          <w:w w:val="100"/>
          <w:position w:val="0"/>
          <w:shd w:val="clear" w:color="auto" w:fill="auto"/>
          <w:lang w:val="ru-RU" w:eastAsia="ru-RU" w:bidi="ru-RU"/>
        </w:rPr>
        <w:t>Подлинник ЭтекгрониогО ДОКунеига, П»'*Т1иНк»тО*О ЭП, хранится в системе электронною докумептооборои ФАС Рич ня</w:t>
      </w:r>
    </w:p>
    <w:p>
      <w:pPr>
        <w:pStyle w:val="Style6"/>
        <w:keepNext w:val="0"/>
        <w:keepLines w:val="0"/>
        <w:framePr w:w="1598" w:h="274" w:wrap="none" w:vAnchor="text" w:hAnchor="page" w:x="9712" w:y="278"/>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Н.А. Кожемяко</w:t>
      </w:r>
    </w:p>
    <w:p>
      <w:pPr>
        <w:pStyle w:val="Style2"/>
        <w:keepNext w:val="0"/>
        <w:keepLines w:val="0"/>
        <w:framePr w:w="2027" w:h="158" w:wrap="none" w:vAnchor="text" w:hAnchor="page" w:x="4917" w:y="987"/>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b/>
          <w:bCs/>
          <w:color w:val="FFFFFF"/>
          <w:spacing w:val="0"/>
          <w:w w:val="100"/>
          <w:position w:val="0"/>
          <w:sz w:val="12"/>
          <w:szCs w:val="12"/>
          <w:shd w:val="clear" w:color="auto" w:fill="auto"/>
          <w:lang w:val="ru-RU" w:eastAsia="ru-RU" w:bidi="ru-RU"/>
        </w:rPr>
        <w:t>СВЕДЕНИЯ О СЕРТИФИКАТЕ ЭП</w:t>
      </w:r>
    </w:p>
    <w:p>
      <w:pPr>
        <w:pStyle w:val="Style2"/>
        <w:keepNext w:val="0"/>
        <w:keepLines w:val="0"/>
        <w:framePr w:w="3388" w:h="500" w:wrap="none" w:vAnchor="text" w:hAnchor="page" w:x="4222" w:y="1225"/>
        <w:widowControl w:val="0"/>
        <w:shd w:val="clear" w:color="auto" w:fill="auto"/>
        <w:bidi w:val="0"/>
        <w:spacing w:before="0" w:after="0" w:line="295"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Кому выдан: Кожемясо Наталья Александрозна Сертификат № Эи“'эС34б7СС'б1'75‘Х’®2&amp;0541Б ' ■'&lt; ЗЕ64</w:t>
      </w:r>
    </w:p>
    <w:p>
      <w:pPr>
        <w:pStyle w:val="Style2"/>
        <w:keepNext w:val="0"/>
        <w:keepLines w:val="0"/>
        <w:framePr w:w="3388" w:h="500" w:wrap="none" w:vAnchor="text" w:hAnchor="page" w:x="4222" w:y="1225"/>
        <w:widowControl w:val="0"/>
        <w:shd w:val="clear" w:color="auto" w:fill="auto"/>
        <w:bidi w:val="0"/>
        <w:spacing w:before="0" w:after="0" w:line="295"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Действителен с 24.05.2','22 по 17.08.2С23</w:t>
      </w:r>
    </w:p>
    <w:p>
      <w:pPr>
        <w:widowControl w:val="0"/>
        <w:spacing w:line="360" w:lineRule="exact"/>
      </w:pPr>
      <w:r>
        <w:drawing>
          <wp:anchor distT="0" distB="0" distL="0" distR="1803400" simplePos="0" relativeHeight="62914694" behindDoc="1" locked="0" layoutInCell="1" allowOverlap="1">
            <wp:simplePos x="0" y="0"/>
            <wp:positionH relativeFrom="page">
              <wp:posOffset>2689225</wp:posOffset>
            </wp:positionH>
            <wp:positionV relativeFrom="paragraph">
              <wp:posOffset>237490</wp:posOffset>
            </wp:positionV>
            <wp:extent cx="311150" cy="365760"/>
            <wp:wrapNone/>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11150" cy="36576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after="607" w:line="1" w:lineRule="exact"/>
      </w:pPr>
    </w:p>
    <w:p>
      <w:pPr>
        <w:widowControl w:val="0"/>
        <w:spacing w:line="1" w:lineRule="exact"/>
        <w:sectPr>
          <w:footnotePr>
            <w:pos w:val="pageBottom"/>
            <w:numFmt w:val="decimal"/>
            <w:numRestart w:val="continuous"/>
          </w:footnotePr>
          <w:type w:val="continuous"/>
          <w:pgSz w:w="11900" w:h="16840"/>
          <w:pgMar w:top="1142" w:right="636" w:bottom="986" w:left="1026"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83" behindDoc="0" locked="0" layoutInCell="1" allowOverlap="1">
                <wp:simplePos x="0" y="0"/>
                <wp:positionH relativeFrom="page">
                  <wp:posOffset>6102350</wp:posOffset>
                </wp:positionH>
                <wp:positionV relativeFrom="paragraph">
                  <wp:posOffset>1120140</wp:posOffset>
                </wp:positionV>
                <wp:extent cx="1085850" cy="182880"/>
                <wp:wrapSquare wrapText="bothSides"/>
                <wp:docPr id="13" name="Shape 13"/>
                <a:graphic xmlns:a="http://schemas.openxmlformats.org/drawingml/2006/main">
                  <a:graphicData uri="http://schemas.microsoft.com/office/word/2010/wordprocessingShape">
                    <wps:wsp>
                      <wps:cNvSpPr txBox="1"/>
                      <wps:spPr>
                        <a:xfrm>
                          <a:ext cx="1085850" cy="18288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Михарская</w:t>
                            </w:r>
                          </w:p>
                        </w:txbxContent>
                      </wps:txbx>
                      <wps:bodyPr wrap="none" lIns="0" tIns="0" rIns="0" bIns="0">
                        <a:noAutoFit/>
                      </wps:bodyPr>
                    </wps:wsp>
                  </a:graphicData>
                </a:graphic>
              </wp:anchor>
            </w:drawing>
          </mc:Choice>
          <mc:Fallback>
            <w:pict>
              <v:shape id="_x0000_s1039" type="#_x0000_t202" style="position:absolute;margin-left:480.5pt;margin-top:88.200000000000003pt;width:85.5pt;height:14.4pt;z-index:-125829370;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Михарская</w:t>
                      </w:r>
                    </w:p>
                  </w:txbxContent>
                </v:textbox>
                <w10:wrap type="square" anchorx="page"/>
              </v:shape>
            </w:pict>
          </mc:Fallback>
        </mc:AlternateContent>
      </w:r>
    </w:p>
    <w:p>
      <w:pPr>
        <w:pStyle w:val="Style6"/>
        <w:keepNext w:val="0"/>
        <w:keepLines w:val="0"/>
        <w:widowControl w:val="0"/>
        <w:shd w:val="clear" w:color="auto" w:fill="auto"/>
        <w:bidi w:val="0"/>
        <w:spacing w:before="0" w:after="2840" w:line="240" w:lineRule="auto"/>
        <w:ind w:left="0" w:right="0" w:firstLine="0"/>
        <w:jc w:val="right"/>
      </w:pPr>
      <w:r>
        <w:drawing>
          <wp:anchor distT="0" distB="2265045" distL="130175" distR="1995805" simplePos="0" relativeHeight="125829385" behindDoc="0" locked="0" layoutInCell="1" allowOverlap="1">
            <wp:simplePos x="0" y="0"/>
            <wp:positionH relativeFrom="page">
              <wp:posOffset>2693670</wp:posOffset>
            </wp:positionH>
            <wp:positionV relativeFrom="margin">
              <wp:posOffset>6863080</wp:posOffset>
            </wp:positionV>
            <wp:extent cx="304800" cy="359410"/>
            <wp:wrapSquare wrapText="bothSides"/>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04800" cy="3594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3079750</wp:posOffset>
                </wp:positionH>
                <wp:positionV relativeFrom="margin">
                  <wp:posOffset>6929120</wp:posOffset>
                </wp:positionV>
                <wp:extent cx="1723390" cy="262890"/>
                <wp:wrapNone/>
                <wp:docPr id="17" name="Shape 17"/>
                <a:graphic xmlns:a="http://schemas.openxmlformats.org/drawingml/2006/main">
                  <a:graphicData uri="http://schemas.microsoft.com/office/word/2010/wordprocessingShape">
                    <wps:wsp>
                      <wps:cNvSpPr txBox="1"/>
                      <wps:spPr>
                        <a:xfrm>
                          <a:ext cx="1723390" cy="262890"/>
                        </a:xfrm>
                        <a:prstGeom prst="rect"/>
                        <a:noFill/>
                      </wps:spPr>
                      <wps:txbx>
                        <w:txbxContent>
                          <w:p>
                            <w:pPr>
                              <w:pStyle w:val="Style21"/>
                              <w:keepNext w:val="0"/>
                              <w:keepLines w:val="0"/>
                              <w:widowControl w:val="0"/>
                              <w:shd w:val="clear" w:color="auto" w:fill="auto"/>
                              <w:tabs>
                                <w:tab w:leader="dot" w:pos="2264" w:val="left"/>
                                <w:tab w:pos="2390" w:val="left"/>
                                <w:tab w:leader="dot" w:pos="2534" w:val="left"/>
                              </w:tabs>
                              <w:bidi w:val="0"/>
                              <w:spacing w:before="0" w:after="0" w:line="240" w:lineRule="auto"/>
                              <w:ind w:left="0" w:right="0" w:firstLine="0"/>
                              <w:jc w:val="left"/>
                            </w:pPr>
                            <w:r>
                              <w:rPr>
                                <w:color w:val="000000"/>
                                <w:spacing w:val="0"/>
                                <w:w w:val="100"/>
                                <w:position w:val="0"/>
                                <w:shd w:val="clear" w:color="auto" w:fill="auto"/>
                                <w:lang w:val="ru-RU" w:eastAsia="ru-RU" w:bidi="ru-RU"/>
                              </w:rPr>
                              <w:t>Поломи. чКЭЛе.,О До..мгн.й, ПО-.</w:t>
                              <w:tab/>
                              <w:tab/>
                              <w:tab/>
                              <w:t>О</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ЭП, хранится В системе электронною документооборота ФАС Ри мн</w:t>
                            </w:r>
                          </w:p>
                        </w:txbxContent>
                      </wps:txbx>
                      <wps:bodyPr lIns="0" tIns="0" rIns="0" bIns="0">
                        <a:noAutoFit/>
                      </wps:bodyPr>
                    </wps:wsp>
                  </a:graphicData>
                </a:graphic>
              </wp:anchor>
            </w:drawing>
          </mc:Choice>
          <mc:Fallback>
            <w:pict>
              <v:shape id="_x0000_s1043" type="#_x0000_t202" style="position:absolute;margin-left:242.5pt;margin-top:545.60000000000002pt;width:135.69999999999999pt;height:20.699999999999999pt;z-index:251657729;mso-wrap-distance-left:0;mso-wrap-distance-right:0;mso-position-horizontal-relative:page;mso-position-vertical-relative:margin" filled="f" stroked="f">
                <v:textbox inset="0,0,0,0">
                  <w:txbxContent>
                    <w:p>
                      <w:pPr>
                        <w:pStyle w:val="Style21"/>
                        <w:keepNext w:val="0"/>
                        <w:keepLines w:val="0"/>
                        <w:widowControl w:val="0"/>
                        <w:shd w:val="clear" w:color="auto" w:fill="auto"/>
                        <w:tabs>
                          <w:tab w:leader="dot" w:pos="2264" w:val="left"/>
                          <w:tab w:pos="2390" w:val="left"/>
                          <w:tab w:leader="dot" w:pos="2534" w:val="left"/>
                        </w:tabs>
                        <w:bidi w:val="0"/>
                        <w:spacing w:before="0" w:after="0" w:line="240" w:lineRule="auto"/>
                        <w:ind w:left="0" w:right="0" w:firstLine="0"/>
                        <w:jc w:val="left"/>
                      </w:pPr>
                      <w:r>
                        <w:rPr>
                          <w:color w:val="000000"/>
                          <w:spacing w:val="0"/>
                          <w:w w:val="100"/>
                          <w:position w:val="0"/>
                          <w:shd w:val="clear" w:color="auto" w:fill="auto"/>
                          <w:lang w:val="ru-RU" w:eastAsia="ru-RU" w:bidi="ru-RU"/>
                        </w:rPr>
                        <w:t>Поломи. чКЭЛе.,О До..мгн.й, ПО-.</w:t>
                        <w:tab/>
                        <w:tab/>
                        <w:tab/>
                        <w:t>О</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ЭП, хранится В системе электронною документооборота ФАС Ри мн</w:t>
                      </w:r>
                    </w:p>
                  </w:txbxContent>
                </v:textbox>
                <w10:wrap anchorx="page" anchory="margin"/>
              </v:shape>
            </w:pict>
          </mc:Fallback>
        </mc:AlternateContent>
      </w:r>
      <w:r>
        <w:drawing>
          <wp:anchor distT="904875" distB="0" distL="311150" distR="614680" simplePos="0" relativeHeight="125829386" behindDoc="0" locked="0" layoutInCell="1" allowOverlap="1">
            <wp:simplePos x="0" y="0"/>
            <wp:positionH relativeFrom="page">
              <wp:posOffset>2874645</wp:posOffset>
            </wp:positionH>
            <wp:positionV relativeFrom="margin">
              <wp:posOffset>7767955</wp:posOffset>
            </wp:positionV>
            <wp:extent cx="1505585" cy="1718945"/>
            <wp:wrapSquare wrapText="bothSides"/>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1505585" cy="17189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3126105</wp:posOffset>
                </wp:positionH>
                <wp:positionV relativeFrom="margin">
                  <wp:posOffset>7249160</wp:posOffset>
                </wp:positionV>
                <wp:extent cx="1289050" cy="100330"/>
                <wp:wrapNone/>
                <wp:docPr id="21" name="Shape 21"/>
                <a:graphic xmlns:a="http://schemas.openxmlformats.org/drawingml/2006/main">
                  <a:graphicData uri="http://schemas.microsoft.com/office/word/2010/wordprocessingShape">
                    <wps:wsp>
                      <wps:cNvSpPr txBox="1"/>
                      <wps:spPr>
                        <a:xfrm>
                          <a:ext cx="128905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6.15000000000001pt;margin-top:570.80000000000007pt;width:101.5pt;height:7.9000000000000004pt;z-index:251657731;mso-wrap-distance-left:0;mso-wrap-distance-right:0;mso-position-horizontal-relative:page;mso-position-vertical-relative:margin"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FFFFFF"/>
                          <w:spacing w:val="0"/>
                          <w:w w:val="100"/>
                          <w:position w:val="0"/>
                          <w:sz w:val="12"/>
                          <w:szCs w:val="12"/>
                          <w:shd w:val="clear" w:color="auto" w:fill="auto"/>
                          <w:lang w:val="ru-RU" w:eastAsia="ru-RU" w:bidi="ru-RU"/>
                        </w:rPr>
                        <w:t>СВЕДЕНИЯ О СЕРТИФИКАТЕ ЭП</w:t>
                      </w:r>
                    </w:p>
                  </w:txbxContent>
                </v:textbox>
                <w10:wrap anchorx="page" anchory="margin"/>
              </v:shape>
            </w:pict>
          </mc:Fallback>
        </mc:AlternateContent>
      </w:r>
      <w:r>
        <mc:AlternateContent>
          <mc:Choice Requires="wps">
            <w:drawing>
              <wp:anchor distT="0" distB="0" distL="0" distR="0" simplePos="0" relativeHeight="503316486" behindDoc="0" locked="0" layoutInCell="1" allowOverlap="1">
                <wp:simplePos x="0" y="0"/>
                <wp:positionH relativeFrom="page">
                  <wp:posOffset>2677795</wp:posOffset>
                </wp:positionH>
                <wp:positionV relativeFrom="margin">
                  <wp:posOffset>7402195</wp:posOffset>
                </wp:positionV>
                <wp:extent cx="2201545" cy="304165"/>
                <wp:wrapNone/>
                <wp:docPr id="23" name="Shape 23"/>
                <a:graphic xmlns:a="http://schemas.openxmlformats.org/drawingml/2006/main">
                  <a:graphicData uri="http://schemas.microsoft.com/office/word/2010/wordprocessingShape">
                    <wps:wsp>
                      <wps:cNvSpPr txBox="1"/>
                      <wps:spPr>
                        <a:xfrm>
                          <a:ext cx="2201545" cy="304165"/>
                        </a:xfrm>
                        <a:prstGeom prst="rect"/>
                        <a:noFill/>
                      </wps:spPr>
                      <wps:txbx>
                        <w:txbxContent>
                          <w:p>
                            <w:pPr>
                              <w:pStyle w:val="Style21"/>
                              <w:keepNext w:val="0"/>
                              <w:keepLines w:val="0"/>
                              <w:widowControl w:val="0"/>
                              <w:shd w:val="clear" w:color="auto" w:fill="auto"/>
                              <w:bidi w:val="0"/>
                              <w:spacing w:before="0" w:after="0" w:line="276"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ru-RU" w:eastAsia="ru-RU" w:bidi="ru-RU"/>
                              </w:rPr>
                              <w:t>К.н.'у выдан: Евстратова Софья Александровна</w:t>
                            </w:r>
                          </w:p>
                          <w:p>
                            <w:pPr>
                              <w:pStyle w:val="Style21"/>
                              <w:keepNext w:val="0"/>
                              <w:keepLines w:val="0"/>
                              <w:widowControl w:val="0"/>
                              <w:shd w:val="clear" w:color="auto" w:fill="auto"/>
                              <w:bidi w:val="0"/>
                              <w:spacing w:before="0" w:after="0" w:line="276"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ru-RU" w:eastAsia="ru-RU" w:bidi="ru-RU"/>
                              </w:rPr>
                              <w:t>Сертифиг-. т № Э0АСм»|)СС'55ВЕ172еОО4&lt;5РСР1ОА :?Е'.' 'О Действителен с2А04.2'.&gt;23 по 17.07.2С24</w:t>
                            </w:r>
                          </w:p>
                        </w:txbxContent>
                      </wps:txbx>
                      <wps:bodyPr lIns="0" tIns="0" rIns="0" bIns="0">
                        <a:noAutoFit/>
                      </wps:bodyPr>
                    </wps:wsp>
                  </a:graphicData>
                </a:graphic>
              </wp:anchor>
            </w:drawing>
          </mc:Choice>
          <mc:Fallback>
            <w:pict>
              <v:shape id="_x0000_s1049" type="#_x0000_t202" style="position:absolute;margin-left:210.84999999999999pt;margin-top:582.85000000000002pt;width:173.34999999999999pt;height:23.949999999999999pt;z-index:251657733;mso-wrap-distance-left:0;mso-wrap-distance-right:0;mso-position-horizontal-relative:page;mso-position-vertical-relative:margin" filled="f" stroked="f">
                <v:textbox inset="0,0,0,0">
                  <w:txbxContent>
                    <w:p>
                      <w:pPr>
                        <w:pStyle w:val="Style21"/>
                        <w:keepNext w:val="0"/>
                        <w:keepLines w:val="0"/>
                        <w:widowControl w:val="0"/>
                        <w:shd w:val="clear" w:color="auto" w:fill="auto"/>
                        <w:bidi w:val="0"/>
                        <w:spacing w:before="0" w:after="0" w:line="276"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ru-RU" w:eastAsia="ru-RU" w:bidi="ru-RU"/>
                        </w:rPr>
                        <w:t>К.н.'у выдан: Евстратова Софья Александровна</w:t>
                      </w:r>
                    </w:p>
                    <w:p>
                      <w:pPr>
                        <w:pStyle w:val="Style21"/>
                        <w:keepNext w:val="0"/>
                        <w:keepLines w:val="0"/>
                        <w:widowControl w:val="0"/>
                        <w:shd w:val="clear" w:color="auto" w:fill="auto"/>
                        <w:bidi w:val="0"/>
                        <w:spacing w:before="0" w:after="0" w:line="276" w:lineRule="auto"/>
                        <w:ind w:left="0" w:right="0" w:firstLine="0"/>
                        <w:jc w:val="left"/>
                        <w:rPr>
                          <w:sz w:val="11"/>
                          <w:szCs w:val="11"/>
                        </w:rPr>
                      </w:pPr>
                      <w:r>
                        <w:rPr>
                          <w:rFonts w:ascii="Arial" w:eastAsia="Arial" w:hAnsi="Arial" w:cs="Arial"/>
                          <w:b w:val="0"/>
                          <w:bCs w:val="0"/>
                          <w:color w:val="000000"/>
                          <w:spacing w:val="0"/>
                          <w:w w:val="100"/>
                          <w:position w:val="0"/>
                          <w:sz w:val="11"/>
                          <w:szCs w:val="11"/>
                          <w:shd w:val="clear" w:color="auto" w:fill="auto"/>
                          <w:lang w:val="ru-RU" w:eastAsia="ru-RU" w:bidi="ru-RU"/>
                        </w:rPr>
                        <w:t>Сертифиг-. т № Э0АСм»|)СС'55ВЕ172еОО4&lt;5РСР1ОА :?Е'.' 'О Действителен с2А04.2'.&gt;23 по 17.07.2С24</w:t>
                      </w:r>
                    </w:p>
                  </w:txbxContent>
                </v:textbox>
                <w10:wrap anchorx="page" anchory="margin"/>
              </v:shape>
            </w:pict>
          </mc:Fallback>
        </mc:AlternateContent>
      </w:r>
      <w:r>
        <w:rPr>
          <w:color w:val="000000"/>
          <w:spacing w:val="0"/>
          <w:w w:val="100"/>
          <w:position w:val="0"/>
          <w:shd w:val="clear" w:color="auto" w:fill="auto"/>
          <w:lang w:val="ru-RU" w:eastAsia="ru-RU" w:bidi="ru-RU"/>
        </w:rPr>
        <w:t>С.А. Евстратова</w:t>
      </w:r>
    </w:p>
    <w:p>
      <w:pPr>
        <w:pStyle w:val="Style2"/>
        <w:keepNext w:val="0"/>
        <w:keepLines w:val="0"/>
        <w:widowControl w:val="0"/>
        <w:shd w:val="clear" w:color="auto" w:fill="auto"/>
        <w:bidi w:val="0"/>
        <w:spacing w:before="0" w:after="0" w:line="252" w:lineRule="auto"/>
        <w:ind w:left="0" w:right="0" w:firstLine="0"/>
        <w:jc w:val="left"/>
        <w:rPr>
          <w:sz w:val="17"/>
          <w:szCs w:val="17"/>
        </w:rPr>
      </w:pPr>
      <w:r>
        <w:rPr>
          <w:color w:val="000000"/>
          <w:spacing w:val="0"/>
          <w:w w:val="100"/>
          <w:position w:val="0"/>
          <w:sz w:val="17"/>
          <w:szCs w:val="17"/>
          <w:shd w:val="clear" w:color="auto" w:fill="auto"/>
          <w:lang w:val="ru-RU" w:eastAsia="ru-RU" w:bidi="ru-RU"/>
        </w:rPr>
        <w:t>Исп.Михарская А.А. тел.(863) 240-86-88</w:t>
      </w:r>
    </w:p>
    <w:sectPr>
      <w:footnotePr>
        <w:pos w:val="pageBottom"/>
        <w:numFmt w:val="decimal"/>
        <w:numRestart w:val="continuous"/>
      </w:footnotePr>
      <w:type w:val="continuous"/>
      <w:pgSz w:w="11900" w:h="16840"/>
      <w:pgMar w:top="1142" w:right="7466" w:bottom="886" w:left="102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742950</wp:posOffset>
              </wp:positionH>
              <wp:positionV relativeFrom="page">
                <wp:posOffset>9984105</wp:posOffset>
              </wp:positionV>
              <wp:extent cx="651510" cy="107315"/>
              <wp:wrapNone/>
              <wp:docPr id="7" name="Shape 7"/>
              <a:graphic xmlns:a="http://schemas.openxmlformats.org/drawingml/2006/main">
                <a:graphicData uri="http://schemas.microsoft.com/office/word/2010/wordprocessingShape">
                  <wps:wsp>
                    <wps:cNvSpPr txBox="1"/>
                    <wps:spPr>
                      <a:xfrm>
                        <a:ext cx="651510" cy="10731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2023-7954</w:t>
                          </w:r>
                        </w:p>
                      </w:txbxContent>
                    </wps:txbx>
                    <wps:bodyPr wrap="none" lIns="0" tIns="0" rIns="0" bIns="0">
                      <a:spAutoFit/>
                    </wps:bodyPr>
                  </wps:wsp>
                </a:graphicData>
              </a:graphic>
            </wp:anchor>
          </w:drawing>
        </mc:Choice>
        <mc:Fallback>
          <w:pict>
            <v:shape id="_x0000_s1033" type="#_x0000_t202" style="position:absolute;margin-left:58.5pt;margin-top:786.14999999999998pt;width:51.300000000000004pt;height:8.4499999999999993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822325</wp:posOffset>
              </wp:positionH>
              <wp:positionV relativeFrom="page">
                <wp:posOffset>9861550</wp:posOffset>
              </wp:positionV>
              <wp:extent cx="655955" cy="102870"/>
              <wp:wrapNone/>
              <wp:docPr id="9" name="Shape 9"/>
              <a:graphic xmlns:a="http://schemas.openxmlformats.org/drawingml/2006/main">
                <a:graphicData uri="http://schemas.microsoft.com/office/word/2010/wordprocessingShape">
                  <wps:wsp>
                    <wps:cNvSpPr txBox="1"/>
                    <wps:spPr>
                      <a:xfrm>
                        <a:ext cx="655955" cy="1028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2023-7954</w:t>
                          </w:r>
                        </w:p>
                      </w:txbxContent>
                    </wps:txbx>
                    <wps:bodyPr wrap="none" lIns="0" tIns="0" rIns="0" bIns="0">
                      <a:spAutoFit/>
                    </wps:bodyPr>
                  </wps:wsp>
                </a:graphicData>
              </a:graphic>
            </wp:anchor>
          </w:drawing>
        </mc:Choice>
        <mc:Fallback>
          <w:pict>
            <v:shape id="_x0000_s1035" type="#_x0000_t202" style="position:absolute;margin-left:64.75pt;margin-top:776.5pt;width:51.649999999999999pt;height:8.0999999999999996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2023-7954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2"/>
      <w:szCs w:val="22"/>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val="0"/>
      <w:bCs w:val="0"/>
      <w:i w:val="0"/>
      <w:iCs w:val="0"/>
      <w:smallCaps w:val="0"/>
      <w:strike w:val="0"/>
      <w:sz w:val="30"/>
      <w:szCs w:val="30"/>
      <w:u w:val="none"/>
    </w:rPr>
  </w:style>
  <w:style w:type="character" w:customStyle="1" w:styleId="CharStyle19">
    <w:name w:val="Заголовок №1_"/>
    <w:basedOn w:val="DefaultParagraphFont"/>
    <w:link w:val="Style18"/>
    <w:rPr>
      <w:rFonts w:ascii="Times New Roman" w:eastAsia="Times New Roman" w:hAnsi="Times New Roman" w:cs="Times New Roman"/>
      <w:b w:val="0"/>
      <w:bCs w:val="0"/>
      <w:i w:val="0"/>
      <w:iCs w:val="0"/>
      <w:smallCaps w:val="0"/>
      <w:strike w:val="0"/>
      <w:sz w:val="38"/>
      <w:szCs w:val="38"/>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sz w:val="10"/>
      <w:szCs w:val="10"/>
      <w:u w:val="none"/>
    </w:rPr>
  </w:style>
  <w:style w:type="paragraph" w:customStyle="1" w:styleId="Style2">
    <w:name w:val="Другое"/>
    <w:basedOn w:val="Normal"/>
    <w:link w:val="CharStyle3"/>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6">
    <w:name w:val="Основной текст"/>
    <w:basedOn w:val="Normal"/>
    <w:link w:val="CharStyle7"/>
    <w:pPr>
      <w:widowControl w:val="0"/>
      <w:shd w:val="clear" w:color="auto" w:fill="auto"/>
      <w:spacing w:line="262"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8">
    <w:name w:val="Заголовок №1"/>
    <w:basedOn w:val="Normal"/>
    <w:link w:val="CharStyle19"/>
    <w:pPr>
      <w:widowControl w:val="0"/>
      <w:shd w:val="clear" w:color="auto" w:fill="auto"/>
      <w:spacing w:after="280"/>
      <w:outlineLvl w:val="0"/>
    </w:pPr>
    <w:rPr>
      <w:rFonts w:ascii="Times New Roman" w:eastAsia="Times New Roman" w:hAnsi="Times New Roman" w:cs="Times New Roman"/>
      <w:b w:val="0"/>
      <w:bCs w:val="0"/>
      <w:i w:val="0"/>
      <w:iCs w:val="0"/>
      <w:smallCaps w:val="0"/>
      <w:strike w:val="0"/>
      <w:sz w:val="38"/>
      <w:szCs w:val="38"/>
      <w:u w:val="none"/>
    </w:rPr>
  </w:style>
  <w:style w:type="paragraph" w:customStyle="1" w:styleId="Style21">
    <w:name w:val="Подпись к картинке"/>
    <w:basedOn w:val="Normal"/>
    <w:link w:val="CharStyle22"/>
    <w:pPr>
      <w:widowControl w:val="0"/>
      <w:shd w:val="clear" w:color="auto" w:fill="auto"/>
      <w:spacing w:line="259" w:lineRule="auto"/>
    </w:pPr>
    <w:rPr>
      <w:rFonts w:ascii="Times New Roman" w:eastAsia="Times New Roman" w:hAnsi="Times New Roman" w:cs="Times New Roman"/>
      <w:b/>
      <w:bCs/>
      <w:i w:val="0"/>
      <w:iCs w:val="0"/>
      <w:smallCaps w:val="0"/>
      <w:strike w:val="0"/>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