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762000" cy="82931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762000" cy="82931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3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УПРАВЛЕНИЕ ФЕДЕРАЛЬНОЙ АНТИМОНОПОЛЬНОЙ СЛУЖБЫ</w:t>
        <w:br/>
        <w:t>ПО СВЕРДЛОВСКОЙ ОБЛАСТИ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жалобе № 066/06/106-1461/2023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9221" w:val="left"/>
        </w:tabs>
        <w:bidi w:val="0"/>
        <w:spacing w:before="0" w:after="28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г. Екатеринбург</w:t>
        <w:tab/>
        <w:t>26.04.2023 г.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Свердловской области по контролю в сфере закупок (далее по тексту - Комиссия)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*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посредством использования интернет-видеоконференции, которая обеспечивает возможность участия сторон, в 14-30, при участии представителей: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6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заказчика в лице Военной прокуратуры Центрального военного округа - *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57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заявителя в лице ООО «ПромСнаб, уведомленного надлежащим образом о времени и месте рассмотрения жалобы,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222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«ПромСнаб» (вх. №</w:t>
        <w:tab/>
        <w:t>8834-ЭП/23 от 21.04.2023 г.) о нарушении заказчиком в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лице Военной прокуратуры Центрального военного округа при осуществлении процедуры электронного аукциона на поставку уничтожителей документов для нужд военных прокуратур гарнизонов (извещение № 0162400000723000006),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по тексту - Закон о контрактной системе), и в результате осуществления внеплановой проверки в соответствии со статьей 99, 106 Закона о контрактной системе,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 С Т А Н О В И Л А: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227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Управление Федеральной антимонопольной службы по Свердловской области поступила жалоба ООО «ПромСнаб» (вх. №</w:t>
        <w:tab/>
        <w:t>8834-ЭП/23 от 21.04.2023 г.) о нарушении заказчиком в лице Военной прокуратуры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Центрального военного округа при осуществлении процедуры электронного аукциона на поставку уничтожителей документов для нужд военных прокуратур гарнизонов (извещение № 0162400000723000006), Закона о контрактной системе, соответствующая требованиям ст.105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своей жалобе заявитель указал, что заказчиком в нарушение требований законодательства о контрактной системе в извещении электронного аукциона сформированы требования к объекту закупки.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Представители заказчика с доводами, изложенными в жалобе не согласились, просили признать жалобу необоснованной.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Жалоба рассмотрена в порядке, предусмотренном статьей 106 Закона о контрактной системе. Проведя анализ представленных материалов на рассмотрение жалобы, Комиссия пришла к следующим выводам.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14.04.2023 г. на официальном сайте опубликовано извещение о проведении электронного аукциона № 0162400000723000006 на поставку уничтожителей документов для нужд военных прокуратур гарнизонов.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составила 5 108 670.00 рублей.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ч. 3 ст. 7 Закона о контрактной системе 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Электронный аукцион начинается с размещения в единой информационной системе извещения об осуществлении закупки. Заявка на участие в закупке должна содержать информацию и документы, предусмотренные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подпунктами «м»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«п» пункта 1,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подпунктами «а»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«в» пункта 2,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пунктом 5 части 1 статьи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43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закона. Заявка также может содержать информацию и документы, предусмотренные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подпунктом «д» пункта 2 части 1 статьи 43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 (ч. 1 ст. 49 Закона о контрактной системе).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 1 ч. 2 ст. 42 Закона о контрактной системе, извещение об осуществлении закупки, если иное не предусмотрено настоящим Федеральным законом, должно содержать, в том числе, следующий электронный документ: описание объекта закупки в соответствии со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статьей 33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в случаях, предусмотренных настоящим Федеральным законом, при описании объекта закупки должен руководствоваться следующими правилами (ч. 1 ст. 33 Закона о контрактной системе):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0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0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Описание объекта закупки в соответствии с требованиями, указанными в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части 1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 (ч. 2 ст. 33 Закона о контрактной системе).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Контракт, в соответствии с ч. 1 ст. 34 Закона о контрактной системе, заключается на условиях, предусмотренных извещением об осуществлении закупки или приглашением, документацией о закупке, заявкой участника закупки, с которым заключается контракт, за исключением случаев, в которых в соответствии с настоящим Федеральным законом извещение об осуществлении закупки или приглашение, документация о закупке, заявка не предусмотрены. В случае, предусмотренном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частью 24 статьи 22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закона, контракт должен содержать порядок определения количества поставляемого товара, объема выполняемой работы, оказываемой услуги на основании заявок заказчика.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Приложением № 1 «Описание объекта закупки» к извещению рассматриваемой закупочной процедуры установлены функциональные, технические и качественные характеристики товара, наименование которого определено как «уничтожитель документов ОГйсе Кй 8220 или эквивалент 28.99.11.112»:</w:t>
      </w:r>
    </w:p>
    <w:tbl>
      <w:tblPr>
        <w:tblOverlap w:val="never"/>
        <w:jc w:val="center"/>
        <w:tblLayout w:type="fixed"/>
      </w:tblPr>
      <w:tblGrid>
        <w:gridCol w:w="1963"/>
        <w:gridCol w:w="7114"/>
        <w:gridCol w:w="1430"/>
      </w:tblGrid>
      <w:tr>
        <w:trPr>
          <w:trHeight w:val="8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Наименование продукции, ОКПД2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Технические характеристики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Кол-во, шт.</w:t>
            </w:r>
          </w:p>
        </w:tc>
      </w:tr>
      <w:tr>
        <w:trPr>
          <w:trHeight w:val="1186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 xml:space="preserve">Уничтожитель документов Ойасе Кй 8220 </w:t>
            </w: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или эквивалент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Тип резки: фрагменты;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Размер резки: не более 18 мм;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Уровень секретности (по Э^ 32757): не менее 4;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Уровень секретности (по Э^ 66399): не менее Р-5;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189</w:t>
            </w: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963"/>
        <w:gridCol w:w="7114"/>
        <w:gridCol w:w="1430"/>
      </w:tblGrid>
      <w:tr>
        <w:trPr>
          <w:trHeight w:val="613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28.99.11.112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Ширина приемной части: не менее 230 мм;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Количество уничтожаемых листов: не менее 14 шт;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Объем корзины: не менее 32 л;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Скорость уничтожения: не менее 60 мм/сек;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 реверса: да;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Материал корпуса: пластик;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Возможность уничтожения дисков, скрепок, скоб, пластиковых карт, бумаги : да;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Мощность: не менее 300 Вт;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Уровень шума: не более 55 дБ;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Источник питания: 220 В;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 автоматического управления: да;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 индикатора переполнения корзины: да;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 индикатора открытой двери: да;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Остановка при полной корзине: да;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 индикатора замятия бумаги: да;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 индикатора перегрева двигателя: да;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 отдельного слота для С’Э: да;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 роликов для перемещения: да;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Вес аппарата: не более 19,5 кг;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Габариты (ШхГхВ): не менее 395х315х620 мм.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полагает, что показатель «вес аппарата: не более 19,5 кг» приобретаемого в рамках закупки уничтожителя документов, являются излишними и безосновательно ограничивают круг потенциальных участников закупочной процедуры. Кроме того, жалобой установлено, что характеристика объекта закупки «вес аппарата» не соответствует параметрам товара Ойасе Кй 8220: согласно данным из открытых источников вес шредоров производителя ОГйсе Кй 8220 варьируется от 19.55 до 21 кг.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Возражая против указанного, представители заказчика пояснили, что оспариваемые требования включены в раздел описания объекта закупки в соответствии с положениями ст. 33 Закона о контрактной системе и отражают потребность заказчика в оперативном перемещении устройства, в том числе, в полевых условиях.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этим, в ходе разбирательства представителями заказчика было указано на информационной письмо производителя товара ОГйсе Кй 8220 (письмо исх. б/н от 24.04.2023 г.), которым установлено, что вес уничтожителя документов составляет 16.9 кг без учета упаковки, модель присутствует на складе в должном количесте, не снята с производтства и продолжает поставляться на российский рынок.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Заслушав пояснения представителей заказчика, изучив представленные материалы дела, Комиссия приходит к выводу, что характеристика, содержащееся в Приложении «Описание объекта закупки» к извещению электронного аукциона и оспариваемая заявителем, была определена в соответствии со спецификой закупки, следовательно, имела принципиальную значимость для заказчика с учетом его потребности и видом деятельности. Потребность заказчика является определяющим фактором при установлении им соответствующих характеристик. Таким образом, действия заказчика, связанные с формированием описания объекта закупки и установления условий исполнения контракта, отражающего действительную нужду заказчика, в отсутствие доказательств того, что такое описание объекта закупки влечет сужение круга участников, не противоречат Закону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участие в закупочной процедуре было подано две заявки, удовлетворяющие требованиям извещения электронного аукциона, что свидетельствует об отсутствии ограничения конкуренции. Следовательно, по общему правилу, указание дополнительных характеристик, отвечающих потребностям заказчика с учетом специфики использования товара, не может рассматриваться как ограничение круга потенциальных участников закупки.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вышеуказанного, в действиях заказчика нарушений Закона о контрактной системе не выявлено, довод заявителя признается несостоятельным.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 и руководствуясь административным регламентом, утвержденным приказом ФАС России от 19.11.2014 г. № 727/14, частью 8 статьи 106 Закона о контрактной системе, Комиссия,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24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972185</wp:posOffset>
                </wp:positionH>
                <wp:positionV relativeFrom="paragraph">
                  <wp:posOffset>12700</wp:posOffset>
                </wp:positionV>
                <wp:extent cx="133985" cy="356870"/>
                <wp:wrapSquare wrapText="right"/>
                <wp:docPr id="2" name="Shape 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3985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1.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2.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76.549999999999997pt;margin-top:1.pt;width:10.550000000000001pt;height:28.10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1.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2.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Жалобу ООО «ПромСнаб» признать необоснованной.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2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действиях заказчика в лице Военной прокуратуры Центрального военного округа, закупочной комиссии нарушений Закона о контрактной системе не выявлено.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1" w:val="left"/>
          <w:tab w:pos="1800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 в лице Военной прокуратуры Центрального военного округа, закупочной комиссии,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предписание об устранении нарушений законодательства о контрактной системе не выдавать.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2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2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</w:r>
    </w:p>
    <w:sectPr>
      <w:headerReference w:type="default" r:id="rId7"/>
      <w:headerReference w:type="first" r:id="rId8"/>
      <w:footnotePr>
        <w:pos w:val="pageBottom"/>
        <w:numFmt w:val="decimal"/>
        <w:numRestart w:val="continuous"/>
      </w:footnotePr>
      <w:pgSz w:w="11900" w:h="16840"/>
      <w:pgMar w:top="1134" w:right="519" w:bottom="664" w:left="806" w:header="0" w:footer="3" w:gutter="0"/>
      <w:pgNumType w:start="1"/>
      <w:cols w:space="720"/>
      <w:noEndnote/>
      <w:titlePg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3836035</wp:posOffset>
              </wp:positionH>
              <wp:positionV relativeFrom="page">
                <wp:posOffset>485140</wp:posOffset>
              </wp:positionV>
              <wp:extent cx="67310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302.05000000000001pt;margin-top:38.200000000000003pt;width:5.2999999999999998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5">
    <w:name w:val="Колонтитул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Подпись к таблице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0">
    <w:name w:val="Другое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4">
    <w:name w:val="Колонтитул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Подпись к таблице"/>
    <w:basedOn w:val="Normal"/>
    <w:link w:val="CharStyle8"/>
    <w:pPr>
      <w:widowControl w:val="0"/>
      <w:shd w:val="clear" w:color="auto" w:fill="auto"/>
      <w:spacing w:line="276" w:lineRule="auto"/>
      <w:ind w:firstLine="7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9">
    <w:name w:val="Другое"/>
    <w:basedOn w:val="Normal"/>
    <w:link w:val="CharStyle10"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1.png" TargetMode="Externa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Жукова Анастасия Сергеевна</dc:creator>
  <cp:keywords/>
</cp:coreProperties>
</file>