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0500" distL="1169035" distR="119634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8490" distB="56388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631190</wp:posOffset>
                </wp:positionV>
                <wp:extent cx="2663825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63825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Челябинской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Ленина, 59, г.Чедябинск, 454091</w:t>
                              <w:br/>
                              <w:t>тел. (351) 263-88-71, факс (351) 263-18-39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1о74@Та8.еоу.ги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3.05.2023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АК/5659/2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700000000000003pt;width:209.75pt;height:170.40000000000001pt;z-index:-125829374;mso-wrap-distance-left:9.pt;mso-wrap-distance-top:48.700000000000003pt;mso-wrap-distance-right:9.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Челябинской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Ленина, 59, г.Чедябинск, 454091</w:t>
                        <w:br/>
                        <w:t>тел. (351) 263-88-71, факс (351) 263-18-39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1о74@Та8.еоу.ги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3.05.2023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АК/5659/2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0020" distR="2144395" simplePos="0" relativeHeight="125829381" behindDoc="0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3143250</wp:posOffset>
                </wp:positionV>
                <wp:extent cx="58801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80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450000000000003pt;margin-top:247.5pt;width:46.300000000000004pt;height:17.050000000000001pt;z-index:-125829372;mso-wrap-distance-left:12.6pt;mso-wrap-distance-top:246.5pt;mso-wrap-distance-right:168.84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659890" simplePos="0" relativeHeight="125829383" behindDoc="0" locked="0" layoutInCell="1" allowOverlap="1">
                <wp:simplePos x="0" y="0"/>
                <wp:positionH relativeFrom="page">
                  <wp:posOffset>782955</wp:posOffset>
                </wp:positionH>
                <wp:positionV relativeFrom="paragraph">
                  <wp:posOffset>8763000</wp:posOffset>
                </wp:positionV>
                <wp:extent cx="990600" cy="80454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 Комиссии: Членов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1.649999999999999pt;margin-top:690.pt;width:78.pt;height:63.350000000000001pt;z-index:-125829370;mso-wrap-distance-left:9.pt;mso-wrap-distance-right:130.6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 Комиссии: Членов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8595" distL="1296670" distR="114935" simplePos="0" relativeHeight="125829385" behindDoc="0" locked="0" layoutInCell="1" allowOverlap="1">
                <wp:simplePos x="0" y="0"/>
                <wp:positionH relativeFrom="page">
                  <wp:posOffset>1965325</wp:posOffset>
                </wp:positionH>
                <wp:positionV relativeFrom="paragraph">
                  <wp:posOffset>8763000</wp:posOffset>
                </wp:positionV>
                <wp:extent cx="1353185" cy="615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Козловой А.А.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Сарсенбаевой Е.Н.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54.75pt;margin-top:690.pt;width:106.55pt;height:48.5pt;z-index:-125829368;mso-wrap-distance-left:102.10000000000001pt;mso-wrap-distance-right:9.0500000000000007pt;mso-wrap-distance-bottom:14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Козловой А.А.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Сарсенбаевой Е.Н.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2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ИП Саяпина Анна Сергеевна 456785, г. Озерск, ул. Дзержинского, д. 35, кв. 508 </w:t>
      </w:r>
      <w:r>
        <w:fldChar w:fldCharType="begin"/>
      </w:r>
      <w:r>
        <w:rPr/>
        <w:instrText> HYPERLINK "mailto:itn-el@ya.ru"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йп-е1@,уа.ш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0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"mailto:INT-EL@YA.RU"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ЮТ-ЕЬ@УА.Ки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2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Администрация Озерского городского округа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2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456784 Россия, Челябинская область, г.Озерск, пр.Ленина, 30а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20"/>
        <w:jc w:val="left"/>
        <w:rPr>
          <w:sz w:val="28"/>
          <w:szCs w:val="28"/>
        </w:rPr>
      </w:pPr>
      <w:r>
        <w:fldChar w:fldCharType="begin"/>
      </w:r>
      <w:r>
        <w:rPr/>
        <w:instrText> HYPERLINK "mailto:dip@ozerskadm.ru"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Щр@О2ег8кадт .ги</w:t>
      </w:r>
      <w:r>
        <w:fldChar w:fldCharType="end"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00" w:right="0" w:firstLine="20"/>
        <w:jc w:val="left"/>
        <w:rPr>
          <w:sz w:val="28"/>
          <w:szCs w:val="28"/>
        </w:rPr>
      </w:pPr>
      <w:r>
        <w:fldChar w:fldCharType="begin"/>
      </w:r>
      <w:r>
        <w:rPr/>
        <w:instrText> HYPERLINK "mailto:zakupki@ozerskadm.ru"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2акирИ@02ег8кадт 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2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Муниципальное бюджетное дошкольное образовательное учреждение «Центр развития ребенка- детский сад №58 «Жемчужинка» 456785, Челябинская область, г. Озерск, б. Гайдара, 19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"mailto:info@detsad58.ru"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тГо@Де{8ад58.ги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119435, город Москва, Большой Саввинский переулок, дом 12 строение 9, эт/пом/ком 1/1/2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тГо@8ЪегЪапк-а81:.ш</w:t>
      </w:r>
      <w:r>
        <w:fldChar w:fldCharType="end"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ко@8ЪегЪапк-а81.ги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Комиссии по осуществлению закупок (извещение № 0169300044223000107)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 № 074/06/105-986/2023 (№ 218-ж/2023)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Челябинск, пр. Ленина, 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28 апреля 2023 года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03 мая 2023 года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7" w:val="left"/>
        </w:tabs>
        <w:bidi w:val="0"/>
        <w:spacing w:before="0" w:after="26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 Челябинского УФАС России;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ведущего специалиста-эксперта отдела контроля закупок для государственных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 Челябинского УФАС России;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621" w:val="left"/>
        </w:tabs>
        <w:bidi w:val="0"/>
        <w:spacing w:before="0" w:after="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Гареевой Д.Ф.</w:t>
        <w:tab/>
        <w:t>- главного специалиста-эксперта отдела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 закупок для государственных и муниципальных нужд Челябинского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частью 15 статьи 99, статьей 106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рассмотрев жалобу ИП Саяпиной Анны Сергеевны на положения извещения при проведении электронного аукциона на замену оконных блоков в здании (5 блок) МБДОУ ЦРР ДС №58, расположенном по адресу: Челябинская область, г. Озерск, б. Гайдара, д. 19 (извещение № 0169300044223000107), в присутствии: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Муниципального бюджетного дошкольного образовательного учреждения «Центр развития ребенка-детский сад №58 «Жемчужинка» (далее - заказчик) Лифаненковой И.В., действующей на основании распоряжения от 04.05.2022 № 202лс;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Администрации Озерского городского округа (далее — уполномоченный орган) Жмайло А.И., действующего на основании доверенности от 27.04.2023 № 01-02- 18/147;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Саяпиной Анны Сергеевны (далее - заявитель), надлежащим образом уведомленного о дате и времени заседания Комиссии, в том числе публично, путем размещения информации в единой информационной системе в сфере закупок на официальном сайте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 доу.ги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Челябинское УФАС России 21.04.2023 поступила жалоба заявителя на положения извещения при проведении электронного аукциона на замену оконных блоков в здании (5 блок) МБДОУ ЦРР ДС №58, расположенном по адресу: Челябинская область, г. Озерск, б. Гайдара, д. 19 (извещение № 0169300044223000107) (далее - аукцион, закупка).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представленным документам извещение о проведении электронного аукциона опубликовано заказчиком в единой информационной системе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ууу. /акирк .домги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- 4 949 557,20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по итогам закупки не заключен.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жалобы заключаются в следующем.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Разделе 2 «Характеристики строительных материалов по объекту» Приложения 1 ОПИСАНИЕ ОБЪЕКТА ЗАКУПКИ (ТЕХНИЧЕСКОЕ ЗАДАНИЕ) заказчик установил требование к оконным блокам из ПВХ «Группа горючести Г2», однако данное требование является незаконным, так как оконных блоков с группой горючести Г2 из ПВХ не существует, все окна с ПВХ профилем имеют группу горючести Г3.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Пределы огнестойкости заполнения проемов (дверей, ворот, окон и люков), а также фонарей, в том числе зенитных, и других светопрозрачных участков настилов покрытий не нормируются, за исключением заполнения проемов в противопожарных преградах.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Данное требование ограничивает конкуренцию, поскольку поставщики не смогут принять участие в аукционе в связи с отсутствием возможности осуществить поставку требуемого заказчиком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заказчика, уполномоченного органа представили письменные пояснения, которые на заседании Комиссии поддержали, и указали, что классификация зданий с точки зрения пожарной безопасности регламентирована Федеральным законом от 22.07.2008 №123-Ф3 «Технический регламент о требованиях пожарной безопасности». Так, здания дошкольных образовательных организаций относятся к классу функциональной пожарной опасности — Ф1.1. При этом согласно таблицам 28, 29 Федерального закона от 22.07.2008 №123-Ф3 для зданий класса Ф1.1. указана горючесть материалов от НГ до Г2.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системам противопожарной защиты установлены СП 3.13130.2009 «Свод правил. Системы противопожарной защиты. Система оповещения и управления эвакуацией людей при пожаре. Требования пожарной безопасности», СП 5.13130.2009 «Свод правил. Системы противопожарной защиты. Установки пожарной сигнализации и пожаротушения автоматические. Нормы и правила проектирования», СП 6.13130.2013 «Системы противопожарной защиты. Электрооборудование. Требования пожарной безопасности», СП 7.13130.2013 «Отопление, вентиляция и кондиционирование. Требования пожарной безопасности», СП 10.13130.2009 «Свод правил. Системы противопожарной защиты. Внутренний противопожарный водопровод. Требования пожарной безопасности».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 один из этих документов не содержит запрета на установление требования к группе горючести оконных блоков Г2.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Слова «не нормируется», процитированные заявителем из Федерального закона от 22.07.2008 №123-Ф3 («нормировать» - устанавливать (установить) нормы, законные пределы чего-либо, вводить (ввести) в норму; ограничивать (ограничить)), не являются синонимом слова «запрещено». Соответственно, если требование не нормируется, нельзя сказать, что оно незаконно.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более, что оконные блоки из ПВХ с группой горючести Г2 представлены на российском рынке, изготовители ПВХ систем сотрудничают, в том числе с фирмами Челябинской и Свердловской областей.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2 части 1 статьи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статьи 33 Закона о контрактной системе предусмотрено,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аукциона наименованием объекта закупки является замена оконных блоков в здании (5 блок) МБДОУ ЦРР ДС №58, расположенном по адресу: Челябинская область, г. Озерск, б. Гайдара, д. 19.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№ 1 к извещению о проведении электронного аукциона заказчиком отражено описание объекта закупки (далее - техническое задание).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Технического задания заказчиком установлены характеристики строительных материалов по объекту, в том числе «Группа горючести Г2» в отношении оконных блоков из ПВХ.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22.07.2008 № 123-ФЗ «Технический регламент о требованиях пожарной безопасности» принят в целях защиты жизни, здоровья, имущества граждан и юридических лиц, государственного и муниципального имущества от пожаров, определяет основные положения технического регулирования в области пожарной безопасности и устанавливает минимально необходимые требования пожарной безопасности к объектам защиты (продукции), в том числе к зданиям и сооружениям, производственным объектам, пожарно-технической продукции и продукции общего назначения.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 МЧС России от 12.03.2020 № 151 утвержден свод правил СП 2.13130 «Системы противопожарной защиты. Обеспечение огнестойкости объектов защиты» (далее - СП 2.13130), который применяется при проектировании, строительстве, капитальном ремонте и реконструкции, при иных работах, связанных с полной или частичной заменой строительных конструкций, заменой заполнений проемов в строительных конструкциях с нормируемыми пределами огнестойкости, а также в случае изменения класса функциональной пожарной опасности объектов защиты.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на заседание Комиссии представлена декларация пожарной безопасности Муниципального бюджетного образовательного учреждения «Центр развития ребенка- детский сад №58 «Жемчужинка» от 28.12.2022, зарегистрированная Отделом Федерального государственного пожарного надзора ФГКУ «Специальное управление ФПС № 1 МЧС России», регистрационный номер75-543-875-СП-0705, согласно которой объект защиты обладает следующими характеристиками: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степень огнестойкости — П;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конструктивной пожарной опасности — С1;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функциональной пожарной опасности — Ф 1.1;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высота здания — 7,68 метра;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площадь этажа в пределах пожарного отсека здания — 4000кв.м;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количество этажей — 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5.4.4 СП 2.13130 класс пожарной опасности заполнений проемов в ограждающих конструкциях зданий (дверей, ворот, окон и люков), а также фонарей, в том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числе зенитных, не нормируется. Пределы огнестойкости таких конструкций не нормируются, за исключением специально оговоренных случаев и при нормировании пределов огнестойкости заполнения проемов в противопожарных преградах.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5.4.18 СП 2.13130 предусмотрено, что предел огнестойкости наружных несущих стен по потере целостности (Е) должен быть не менее требуемого предела огнестойкости для наружных ненесущих стен.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наличии в наружных стенах зданий I - IV степеней огнестойкости открытых проемов или проемов с заполнением (в том числе светопрозрачным) с ненормируемыми пределами огнестойкости необходимо обеспечить выполнение следующего требования: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«г) максимальная площадь ненормируемых по огнестойкости оконных проемов (участков светопрозрачной конструкции), как правило, не должна превышать 25% площади наружной стены, ограниченной примыкающими строительными конструкциями (стенами и перекрытиями) с нормируемым пределом огнестойкости. В случае превышения указанной площади оконных проемов (в том числе при выполнении ленточного остекления и т.п.) наружный слой стекла для них должен быть выполнен закаленным в соответствии с ГОСТ 30698».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пояснил, что по проекту здания на наружных стенах оконные проемы составляют 50% от общей площади стены, а в групповых помещениях это две противоположные наружные стены.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таблицей 24 Федерального закона от 22.07.2008 № 123 окна делятся на три типа по пределу огнестойкости Г1 - 60 минут, Г2 - 30 минут и ГЗ - 15 минут.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таблице 29 Федерального закона от 22.07.2008 № 123 для объектов с классом функциональной пожарной опасности здания Ф1.1. предусмотрены возможные показатели группы горючести материалов от НГ до Г2.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при описании объекта закупки установлено требование к группе горючести оконных блоков из ПВХ в пределах возможных согласно Федеральному закону от 22.07.2008 № 123 в соответствии с классом функциональной пожарной опасности здания Муниципального бюджетного дошкольного образовательного учреждения «Центр развития ребенка-детский сад №58 «Жемчужинка».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материалы дела заказчиком и уполномоченным органом представлены сведения, подтверждающие наличие на рынке оконных блоков из ПВХ с группой горючести Г2.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Челябинского УФАС России нарушений законодательства о контрактной системе в действиях заказчика, выразившихся в установлении требования к группе горючести оконных блоков из ПВХ,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 отметить, что на участие в закупке подано 7 ценовых предложений. Снижение начальной (максимальной) цены контракта составило 57,84%. По результатам подведения итогов определения поставщика (подрядчика, исполнителя) все поданные на участие в закупке заявки признаны соответствующими требованиям извещения. Следовательно, довод заявителя об ограничении количества участников закупки не находит своего подтверждения на заседании Комиссии.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 и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  <w:br w:type="page"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Саяпиной Анны Сергеевны на положения извещения при проведении электронного аукциона на замену оконных блоков в здании (5 блок) МБДОУ ЦРР ДС №58, расположенном по адресу: Челябинская область, г. Озерск, б. Гайдара, д. 19 (извещение № 0169300044223000107)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774" w:right="525" w:bottom="1489" w:left="108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7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2880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10.pt;width:144.pt;height:19.699999999999999pt;z-index:-125829366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9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5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90" behindDoc="0" locked="0" layoutInCell="1" allowOverlap="1">
                <wp:simplePos x="0" y="0"/>
                <wp:positionH relativeFrom="page">
                  <wp:posOffset>6161405</wp:posOffset>
                </wp:positionH>
                <wp:positionV relativeFrom="paragraph">
                  <wp:posOffset>127000</wp:posOffset>
                </wp:positionV>
                <wp:extent cx="103314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Козлова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5.15000000000003pt;margin-top:10.pt;width:81.350000000000009pt;height:19.699999999999999pt;z-index:-125829363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Козлова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Козлова Анна Алексеевна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786071072С79АЗС75А378В1ВОС63О9ВЕ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26.05.2024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0000000000001pt;margin-top:11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Е.Н. Сарсенбаева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00ВА77РЕ376ВСЕ59С49Р61ЕР26В79А7В07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21510" simplePos="0" relativeHeight="125829393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25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Д.Ф. Гареева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ООЕ6486СС7РС9АСЗООА8А53САСЕОЕСЗЕ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3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14.02.2023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Исп.Гареева Д.Ф. тел.8(351) 264-50-43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78" w:right="546" w:bottom="965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10079990</wp:posOffset>
              </wp:positionV>
              <wp:extent cx="63690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2023-6291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93.7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2023-6291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10314940</wp:posOffset>
              </wp:positionV>
              <wp:extent cx="6369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2023-6291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812.20000000000005pt;width:50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2023-6291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192405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0000000000002pt;margin-top:15.1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 w:line="26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198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