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1595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leader="underscore" w:pos="2776" w:val="left"/>
          <w:tab w:leader="underscore" w:pos="9375" w:val="left"/>
        </w:tabs>
        <w:bidi w:val="0"/>
        <w:spacing w:before="0" w:after="0" w:line="240" w:lineRule="auto"/>
        <w:ind w:right="0"/>
        <w:jc w:val="left"/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Управление Федеральной антимонопольной службы </w:t>
        <w:tab/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по Чукотскому автономному округу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ab/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689000, Чукоюкий АО, г. Анадырь, ул. Энергетиков, 13; тел/факс (42722) 2-66-08; е-таП: 1о87@Га5.§ОУ.ги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ул\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п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л'.с11ико1ка.Га5.§ОУ.ги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087/06/106-61/2023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56" w:val="left"/>
        </w:tabs>
        <w:bidi w:val="0"/>
        <w:spacing w:before="0" w:after="32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апреля 2023 года</w:t>
        <w:tab/>
        <w:t>г. Анадырь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Чукотского УФАС России по рассмотрению жалоб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Омаев Тамирлан Алиевич, руководитель Чукотского УФАС России,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Члены Комиссии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Полковникова Кристина Николаевна, главный специалист-эксперт Чукотского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Варфоломеева Марина Валерьевна, старший специалист 1 разряда Чукотского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ОБЩЕСТВА С ОГРАНИЧЕННОЙ ОТВЕТСТВЕННОСТЬЮ «ИНГВАР», ИНН / КПП - 1400014200 / 140001001 (далее - Заявитель, ООО «ИНГВАР») на действия заказчика - МУНИЦИПАЛЬНОГО БЮДЖЕТНОГО ОБЩЕОБРАЗОВАТЕЛЬНОГО УЧРЕЖДЕНИЯ «СРЕДНЯЯ ОБЩЕОБРАЗОВАТЕЛЬНАЯ ШКОЛА № 1 ГОРОДА АНАДЫРЯ», ИНН / КПП - 8709005638 / 870901001 (далее - Заказчик, МБОУ «СОШ № 1») при проведении электронного открытого аукциона на «Выполнение работ по ремонту фасада и входной группы», извещение № 0188300005423000016, ИКЗ № 233870900563887090100100060014399244 (далее - Аукцион), руководствуясь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утвержденного Приказом ФАС России от 19.11.2014 № 727/14 (далее - Административный регламент),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Заявителя, уведомленного должным образом,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 Заказчика, в лице Зубовой Екатерины Олеговны на основании доверенности № 01-23/891 от 27.10.2023 г.,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Уполномоченного органа - АДМИНИСТРАЦИЯ ГОРОДСКОГО ОКРУГА АНАДЫРЬ (далее Уполномоченный орган),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Чукотскому автономному округу 25.04.2023 года была перенаправлена жалоба от Заявителя на действия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была подана в Чукотское УФАС России, с использованием Единой информационной системы в сфере закупок хуупу.гакиркг^оу.ги (далее - ЕИС), в соответствии с требованиями статьи 106 Закона с* контрактной системе принята к рассмотрению, по существу.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Заявителя (цитирование):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 системе СегезИ есть два варианта решения - УМ8 и ММ. Исходя из локально-сметного расчета, заказчик предлагает выполнить систему ММ с применением минераловатных плит плотностью 45 кг/мЗ.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процессе ознакомления с технологией фасадов СегезИ ММ было выявлено, что данной системой предусмотрено применять 2 вида плит: минераловатные с беспорядочным расположением волокон плотностью 120-160 кг/мЗ, и минерало ватные с перпендикулярным расположением волокон (ламельные) плотностью 80-120 кг/мЗ.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исходя из предложенного Заказчиком варианта теплоизоляции во время этапа нанесения армированного защитного слоя поверхность может получиться рыхлой».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внести изменения в локально-сметный расчёт, соответствующие технологии фасадов Сегезй Ж.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были представлены возражения на жалобу Комиссии Чукотского УФАС России (исходящий № 01-23/892 от 27.04.2023), согласно которым жалоба является необоснованной по следующим основаниям (цитирование):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16" w:val="left"/>
        </w:tabs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 локальном сметном расчете системы СегезИ ММ не указано, в позициях 11,</w:t>
        <w:tab/>
        <w:t>16 локального сметного расчета указана только грунтовка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воднодисперсионная СЕКЕ81Т СТ 17, при этом в абзаце 2 пункта 3 Описания объекта закупки (Технического задания) указано: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указании в Локальном сметном расчете (ЛСР), настоящем Описании объекта закупки (Техническом задании) товарных знаков в отношении товаров (материалов), используемых при выполнении работ, следует учитывать сопровождение таких товарных знаков словами «или эквивалент». ЛСР приводится в Приложении 2 отдельным файлом».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изучив представленные материалы,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представленных материалов и информации, размещенной в ЕИС следует, что 31.03.2023 08:35 (МСК+9) в ЕИС Уполномоченным органом были размещены извещение № 0188300005423000016 и документация об электронном открытом аукционе на «Выполнение работ по ремонту фасада и входной группы», с начальной (максимальной) ценой контракта 23 000 000 (двадцать три миллиона) рублей 00 копеек.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подачи заявок - 31.03.2023 08:35 (МСК+9) по 24.04.2023 03:00 (МСК+9).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04.04.2023 01:52 (МСК+9) - Размещено «Разъяснение извещения».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270" w:val="left"/>
          <w:tab w:pos="3040" w:val="left"/>
          <w:tab w:pos="4369" w:val="left"/>
          <w:tab w:pos="4790" w:val="left"/>
          <w:tab w:pos="633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04.04.2023</w:t>
        <w:tab/>
        <w:t>02:44</w:t>
        <w:tab/>
        <w:t>(МСК+9)</w:t>
        <w:tab/>
        <w:t>-</w:t>
        <w:tab/>
        <w:t>Размещено</w:t>
        <w:tab/>
        <w:t>«Изменение извещения 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проведении ЭА».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270" w:val="left"/>
          <w:tab w:pos="3040" w:val="left"/>
          <w:tab w:pos="4368" w:val="left"/>
          <w:tab w:pos="4790" w:val="left"/>
          <w:tab w:pos="633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04.04.2023</w:t>
        <w:tab/>
        <w:t>02:47</w:t>
        <w:tab/>
        <w:t>(МСК+9)</w:t>
        <w:tab/>
        <w:t>-</w:t>
        <w:tab/>
        <w:t>Размещено</w:t>
        <w:tab/>
        <w:t>«Изменение извещения 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проведении ЭА».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04.04.2023 07:45 (МСК+9) - Размещено «Разъяснение извещения».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06.04.2023 02:39 (МСК+9) - Размещено «Разъяснение извещения».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10.04.2023 01:55 (МСК+9) - Размещено «Изменение извещения о проведении ЭА».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13.04.2023 01:03 (МСК+9) - Размещено «Разъяснение извещения».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13.04.2023 01:06 (МСК+9) - Размещено «Разъяснение извещения».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14.04.2023 01:11 Размещено «Изменение извещения о проведении ЭА (действующая редакция)».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24.04.2023 05:38 (МСК+9) - Размещен «Протокол подачи ценовых предложений ЭА» № 0188300005423000016 от 24.04.2023 г., согласно которому всего подано две заявки на участие в Аукционе с порядковыми номерами: «61» и предложением цены 18 170 000,00 (понижение 21,00%), «6» и предложением цены 18 285 000,00 (понижение 20,50%).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25.04.2023 03:03 (МСК+9) - Размещен «Протокол подведения итогов электронного аукциона» № 0188300005423000016-2 от 25.04.2023 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второго протокола, по результатам рассмотрения заявок на участие в закупке только одна заявка на участие в закупке соответствует требованиям, установленным в извещении об осуществлении закупки. В соответствии с п. 2 ч.1 ст. 52 Закона 44-ФЗ, электронная процедура признана не состоявшейся.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1.1. проекта Контракта установлено, что предметом настоящего Контракта является выполнение работ по ремонту фасада и входной группы (далее - работы).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1.2. Заказчик поручает, а Подрядчик принимает на себя обязательства по выполнению работ в соответствии с Техническим заданием (приложение № 1 к Контракту), Сметным расчетом стоимости работ (приложение № 2 к Контакту), являющимися неотъемлемой частью настоящего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9 локального сметного расчета (сметы) № 02-01 установлено следующее (далее - ЛСР):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- ФССЦ-12.2.05.05-0023,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работ и затрат - плиты минераловатные на синтетическом связующем Техно (ТУ 5762-043-17925162-2006), марки: ТЕХНОБЛОК СТАНДАРТ (строительные металлические конструкции),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объем=(2304,45+239,22)*0,10.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техническим условиям ТУ5762-043-17925162-2006, плотность теплоизоляционных минераловатные плит ТЕХНОБЛОК СТАНДАРТ составляет 45 кг/мЗ (+/-5).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Увеличение плотности материала ведет к увеличению стоимости и изменению цены Контракта в большую сторону.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пункте 2.5. Контракта указано, что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цена Контракта является твердой, определяется на весь срок исполнения Контракта и не может изменяться в ходе его исполнения за исключением следующего случая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Цена Контракта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может быть снижен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соглашению Сторон без изменения, предусмотренного Контрактом объема работ, качества выполняемых работ, и иных условий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предмета закупки (Техническое задание) пунктом 3 указано: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Объём выполняемых работ: приводится в Приложении 1 к настоящему Описанию объекта закупки (Техническому заданию) «Ведомость объемов работ».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указании в Локальном сметном расчете (ЛСР), настоящем Описании объекта закупки (Техническом задании) товарных знаков в отношении товаров (материалов), используемых при выполнении работ,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следует учитывать сопровождение таких товарных знаков сло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ами «или эквивалент»»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ЛСР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приводится в Приложении 2 отдельным файлом.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1.3. проекта Контракта установлено: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исполнении Контракта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 согласованию Заказчика с Подрядчиком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такими качествами и характеристиками работ, которые указаны в Техническом задании (приложение № 1 к Контракту)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Источник финансирования Контракта: средства бюджетного учреждения, полученные в виде субсидии из бюджета городского округа Анадырь (пункт 2.3. Контракта) - сумма фиксированная и изменению не подлежит.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3.1.1.1. Письма Госстроя РФ от 29.12.1993 М 12-349 (ред. от 25.04.1996) «О Порядке определения стоимости строительства и свободных (договорных) цен на строительную продукцию в условиях развития рыночных отношений»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Локальные сметные расчеты (сметы) на отдельные виды строительных и монтажных работ, а также на стоимость оборудования составляются исходя из следующих данных: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параметров зданий, сооружений, их частей и конструктивных элементов, принятых в проектных решениях;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объемов работ, принятых из ведомостей строительных и монтажных работ и определяемых по проектным материалам;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номенклатуры и количества оборудования, мебели и инвентаря, принятых из заказных спецификаций, ведомостей и других проектных материалов;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действующих сметных нормативов и показателей на виды работ, конструктивные элементы, а также свободных (рыночных) и регулируемых цен и тарифов на продукцию производственно-технического назначения и услуги (в т.ч. на оборудование, мебель и инвентарь). При этом приоритет имеют укрупненные сметные нормативы и стоимостные показатели.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Локальные сметные расчеты составляются вместо локальных смет в тех случаях, когда объемы работ еще окончательно не определились и подлежат уточнению при разработке РД или в том случае, когда объемы работ, характер и методы их выполнения не могут быть достаточно точно определены при проектировании и уточняются в процессе строительства (отдельные виды работ и конструктивные элементы подводной части гидротехнических сооружений, зданий и сооружений экспериментального строительства, реконструируемых зданий и сооружений, технологической части объектов с новыми видами производства, дноуглубительные и горнопроходческие работы и т.п.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3.1.5.1. в составе локальных сметных расчетов (смет) стоимость материальных ресурсов определяется исходя из данных о нормативной потребности материалов, изделий (деталей) и конструкций (в принятых физических единицах измерения: куб. м, кв. м, т и пр.) и соответствующей цены на вид материального ресурса.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указав в ЛСР плиты минераловатные на синтетическом связующем Техно (ТУ 5762-043-17925162-2006), марки: ТЕХНОБЛОК СТАНДАРТ, Заказчик действовал в своих интересах. Замена используемых материалов с улучшенными качествами по инициативе Исполнителя поощряется и не обязывает Заказчика менять стоимость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действиях Заказчика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нет нарушений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которые могли бы привести к ограничению конкуренции.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не принял участие в рассмотрении жалобы, не представил доказательств фактического ущемления своих прав или прав иных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довод Заявителя не нашел подтверждения.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имеющиеся материалы, Комиссия Чукотского УФАС делает вывод о необоснованности доводов жалобы, так как в действиях Заказчика не установлено нарушений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70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3689350</wp:posOffset>
                </wp:positionH>
                <wp:positionV relativeFrom="paragraph">
                  <wp:posOffset>635000</wp:posOffset>
                </wp:positionV>
                <wp:extent cx="902970" cy="203200"/>
                <wp:wrapSquare wrapText="bothSides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97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РЕШИЛА: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90.5pt;margin-top:50.pt;width:71.100000000000009pt;height:16.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РЕШИЛА: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частью 15 статьи 99, статьей 106 Закона о контрактной системе Комиссия Чукотского УФАС,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ОБЩЕСТВА С ОГРАНИЧЕННОЙ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047" w:val="left"/>
          <w:tab w:pos="8352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ОТВЕТСТВЕННОСТЬЮ «ИНГВАР», ИНН / КПП - 1400014200 / 140001001 на действия заказчика - МУНИЦИПАЛЬНОГО БЮДЖЕТНОГО ОБЩЕОБРАЗОВАТЕЛЬНОГО</w:t>
        <w:tab/>
        <w:t>УЧРЕЖДЕНИЯ</w:t>
        <w:tab/>
        <w:t>«СРЕДНЯЯ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11" w:right="777" w:bottom="1149" w:left="123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ОБЩЕОБРАЗОВАТЕЛЬНАЯ ШКОЛА № 1 ГОРОДА АНАДЫРЯ», ИНН / КПП - 8709005638 / 870901001 при проведении электронного открытого аукциона на «Выполнение работ по ремонту фасада и входной группы», извещение № 0188300005423000016, ИКЗ № 233870900563887090100100060014399244,</w:t>
      </w:r>
    </w:p>
    <w:p>
      <w:pPr>
        <w:pStyle w:val="Style2"/>
        <w:keepNext w:val="0"/>
        <w:keepLines w:val="0"/>
        <w:framePr w:w="2142" w:h="320" w:wrap="none" w:vAnchor="text" w:hAnchor="page" w:x="12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необоснованной.</w:t>
      </w:r>
    </w:p>
    <w:p>
      <w:pPr>
        <w:pStyle w:val="Style2"/>
        <w:keepNext w:val="0"/>
        <w:keepLines w:val="0"/>
        <w:framePr w:w="2095" w:h="320" w:wrap="none" w:vAnchor="text" w:hAnchor="page" w:x="1963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5"/>
        <w:keepNext w:val="0"/>
        <w:keepLines w:val="0"/>
        <w:framePr w:w="2945" w:h="328" w:wrap="none" w:vAnchor="text" w:hAnchor="page" w:x="1963" w:y="9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5"/>
        <w:keepNext w:val="0"/>
        <w:keepLines w:val="0"/>
        <w:framePr w:w="2452" w:h="331" w:wrap="none" w:vAnchor="text" w:hAnchor="page" w:x="8645" w:y="1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М.В. Варфоломеева</w:t>
      </w:r>
    </w:p>
    <w:p>
      <w:pPr>
        <w:pStyle w:val="Style15"/>
        <w:keepNext w:val="0"/>
        <w:keepLines w:val="0"/>
        <w:framePr w:w="2362" w:h="320" w:wrap="none" w:vAnchor="text" w:hAnchor="page" w:x="8677" w:y="2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К.Н. Полковникова</w:t>
      </w:r>
    </w:p>
    <w:p>
      <w:pPr>
        <w:pStyle w:val="Style15"/>
        <w:keepNext w:val="0"/>
        <w:keepLines w:val="0"/>
        <w:framePr w:w="9842" w:h="554" w:wrap="none" w:vAnchor="text" w:hAnchor="page" w:x="1254" w:y="3509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течение трёх месяцев со дня его принятия в арбитражный суд.</w:t>
      </w:r>
    </w:p>
    <w:p>
      <w:pPr>
        <w:widowControl w:val="0"/>
        <w:spacing w:line="360" w:lineRule="exact"/>
      </w:pPr>
      <w:r>
        <w:drawing>
          <wp:anchor distT="0" distB="660400" distL="2171700" distR="105410" simplePos="0" relativeHeight="62914692" behindDoc="1" locked="0" layoutInCell="1" allowOverlap="1">
            <wp:simplePos x="0" y="0"/>
            <wp:positionH relativeFrom="page">
              <wp:posOffset>2967355</wp:posOffset>
            </wp:positionH>
            <wp:positionV relativeFrom="paragraph">
              <wp:posOffset>12700</wp:posOffset>
            </wp:positionV>
            <wp:extent cx="3974465" cy="190817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974465" cy="19081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97" w:right="893" w:bottom="997" w:left="113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3753485</wp:posOffset>
              </wp:positionH>
              <wp:positionV relativeFrom="page">
                <wp:posOffset>412750</wp:posOffset>
              </wp:positionV>
              <wp:extent cx="59690" cy="9588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69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295.55000000000001pt;margin-top:32.5pt;width:4.7000000000000002pt;height:7.54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6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ind w:left="1160" w:firstLine="6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ind w:firstLine="3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