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Жуков Д.Н.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1р./Ы@таП.П1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«МНПЦ борьбы с туберкулезом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8" w:right="916" w:bottom="1264" w:left="1140" w:header="0" w:footer="3" w:gutter="0"/>
          <w:pgNumType w:start="1"/>
          <w:cols w:num="2" w:space="720" w:equalWidth="0">
            <w:col w:w="4061" w:space="1205"/>
            <w:col w:w="457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тпрсЫ@уапдех.ги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4" w:right="0" w:bottom="8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077/06/106-26067-ЭП/23/2023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ГБУЗ «МНПЦ борьбы с туберкулезом ДЗМ»,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Жуков Д.Н., о времени и порядке заседания Комиссии Управления уведомленных надлежащим образом письмом Московского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ИП Жуков Д.Н. (далее — Заявитель) на действия ГБУЗ «МНПЦ борьбы с туберкулезом ДЗМ» (далее — Заказчик) при проведении электронного аукциона на право заключения государственного контракта на поставку медицинских нитриловых перчаток в филиалы ГБУЗ «МНПЦ борьбы с туберкулезом ДЗМ» (Закупка № 0373200059723000174) (далее - аукцион) в соответствии с Федеральным законом от 05.04.2013 №44-ФЗ «О контрактной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соответствии с извещением о проведении электронного аукциона от 13.04.2023 №0373200059723000174 объектом закупочной процедуры является поставка медицинских нитриловых перчаток в соответствии с позицией кода каталога товаров работ и услуг (далее — КТРУ) 22.19.60.119-00000008 «Перчатки смотровые/процедурные нитриловые, неопудренные, нестерильные.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 график закупок, извещение об осуществлении закупки, приглашение и документацию о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«г» и «е» - «з» п.10 Правил формирования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п.6 Правил использования КТРУ в случае предоставления иной и дополнительной информации, предусмотренной пунктом 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ряда случаев.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используемая Заказчиком позиция КТРУ 22.19.60.119-00000008 не содержит описания в каталоге, ввиду чего в соответствии с п.7 Правил использования КТРУ характеристики необходимых к поставке товаров описаны в соответствии с требованиями статьи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наличие неправомерных требований к поставляемым товарам, а именно по п.1-3 «Перчатки смотровые/процедурные нитриловые, неопудренные, нестерильные»: «Длина перчатки, от кончика среднего пальца до края манжеты: &gt;= 240 мм»; п.4 «Перчатки смотровые/процедурные нитриловые, неопудренные, нестерильные»: «&gt;= 290 мм», по п.5-6 «Перчатки смотровые/процедурные нитриловые, неопудренные, нестерильные»: «&gt;= 290 &lt;= 300», поскольку положениями ГОСТ 32337—2013 «Перчатки медицинские диагностические нитрильные. Технические требования» (далее - ГОСТ 32337—2013), допускается установление требования к длине перчатки «не менее 220 мм». Таким образом, Заказчиком не обосновано установление требования к нижнему пределу длины перчатки &gt;= 240 мм.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по мнению Заявителя, Заказчиком предъявлены неправомерные требования к упаковке поставляемых товаров, а именно: «Одноразовый картонный блок с окошком», поскольку в составе извещения об осуществлении закупки отсутствует обоснование применения такой характеристики.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п.3 ч.1 ст.33 Закона о контрактной системе описание объекта закупки может включать в себя спецификации, планы, чертежи, эскизы, фотографии, результаты работы, тестирования, требования, в том числе в отношении проведения испытаний, методов испытаний, упаковки в соответствии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требованиями Гражданского кодекса Российской Федерации,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разрабатываемых и применяемых в национальной системе стандартизации, технических условий, а также в отношении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доводом жалобы представитель Заказчика указал, что вышеуказанные требования являются стандартизированными и предусмотрены типовыми положениями системы ЕМИАС. При этом оспариваемые положения установлены в соответствии с потребностью медицинского учреждения в обеспечении надлежащего оснащения медицинского персонала.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 Комиссия Управления также отмечает, что требования, установленные заказчика для оспариваемых положений в отношении длины перчаток, не противоречат положениям ГОСТ 32337—2013 и входят в установленный стандартом диапазон.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 Заявителя не явился, а также в составе жалобы не представлены документы и сведения, свидетельствующие об ограничении количества участников закупки, а также о невозможности формирования заявки на участие в данном аукционе, а также сведений, свидетельствующих о нарушении Заказчиком норм Закона о контрактной системе при установлении требований к поставляемым товарам.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того обстоятельства, что содержащиеся в техническом задании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техническом задании.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Кроме того, Комиссия также отмечает, что предъявленные Заказчиком требования к поставляемому товару в равной степени распространялись на всех участников аукциона,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правовые основания считать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необоснованности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Жуков Д.Н. на действия ГБУЗ «МНПЦ борьбы с туберкулезом ДЗМ»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исполнителя), наложенные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6034405</wp:posOffset>
                </wp:positionH>
                <wp:positionV relativeFrom="paragraph">
                  <wp:posOffset>12700</wp:posOffset>
                </wp:positionV>
                <wp:extent cx="1182370" cy="252730"/>
                <wp:wrapSquare wrapText="bothSides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75.15000000000003pt;margin-top:1.pt;width:93.100000000000009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9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94" w:right="535" w:bottom="870" w:left="109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400685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9999999999999pt;margin-top:31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Основной текст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auto"/>
      <w:spacing w:after="2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