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3704590</wp:posOffset>
            </wp:positionH>
            <wp:positionV relativeFrom="paragraph">
              <wp:posOffset>12700</wp:posOffset>
            </wp:positionV>
            <wp:extent cx="560705" cy="66421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60705" cy="664210"/>
                    </a:xfrm>
                    <a:prstGeom prst="rect"/>
                  </pic:spPr>
                </pic:pic>
              </a:graphicData>
            </a:graphic>
          </wp:anchor>
        </w:drawing>
      </w:r>
      <w:r>
        <mc:AlternateContent>
          <mc:Choice Requires="wps">
            <w:drawing>
              <wp:anchor distT="76200" distB="76200" distL="114300" distR="114300" simplePos="0" relativeHeight="125829379" behindDoc="0" locked="0" layoutInCell="1" allowOverlap="1">
                <wp:simplePos x="0" y="0"/>
                <wp:positionH relativeFrom="page">
                  <wp:posOffset>4210685</wp:posOffset>
                </wp:positionH>
                <wp:positionV relativeFrom="paragraph">
                  <wp:posOffset>2630170</wp:posOffset>
                </wp:positionV>
                <wp:extent cx="2934970" cy="228600"/>
                <wp:wrapTopAndBottom/>
                <wp:docPr id="3" name="Shape 3"/>
                <a:graphic xmlns:a="http://schemas.openxmlformats.org/drawingml/2006/main">
                  <a:graphicData uri="http://schemas.microsoft.com/office/word/2010/wordprocessingShape">
                    <wps:wsp>
                      <wps:cNvSpPr txBox="1"/>
                      <wps:spPr>
                        <a:xfrm>
                          <a:ext cx="2934970" cy="2286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через Единую информационную систему</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31.55000000000001pt;margin-top:207.09999999999999pt;width:231.09999999999999pt;height:18.pt;z-index:-125829374;mso-wrap-distance-left:9.pt;mso-wrap-distance-top:6.pt;mso-wrap-distance-right:9.pt;mso-wrap-distance-bottom:6.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через Единую информационную систему</w:t>
                      </w:r>
                    </w:p>
                  </w:txbxContent>
                </v:textbox>
                <w10:wrap type="topAndBottom" anchorx="page"/>
              </v:shape>
            </w:pict>
          </mc:Fallback>
        </mc:AlternateContent>
      </w:r>
    </w:p>
    <w:p>
      <w:pPr>
        <w:pStyle w:val="Style4"/>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Коми</w:t>
      </w:r>
    </w:p>
    <w:p>
      <w:pPr>
        <w:pStyle w:val="Style4"/>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Интернациональная, 160А, г. Сыктывкар,</w:t>
        <w:br/>
        <w:t>ГСП-2, 167982, тел./факс: (8212) 21-41-29</w:t>
      </w:r>
    </w:p>
    <w:p>
      <w:pPr>
        <w:pStyle w:val="Style4"/>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е-таП: 1о11@Й8.§оу.ги</w:t>
      </w:r>
    </w:p>
    <w:p>
      <w:pPr>
        <w:pStyle w:val="Style12"/>
        <w:keepNext w:val="0"/>
        <w:keepLines w:val="0"/>
        <w:widowControl w:val="0"/>
        <w:shd w:val="clear" w:color="auto" w:fill="auto"/>
        <w:tabs>
          <w:tab w:pos="1843" w:val="left"/>
        </w:tabs>
        <w:bidi w:val="0"/>
        <w:spacing w:before="0" w:after="340" w:line="240" w:lineRule="auto"/>
        <w:ind w:left="0" w:right="0" w:firstLine="0"/>
        <w:jc w:val="both"/>
        <w:rPr>
          <w:sz w:val="30"/>
          <w:szCs w:val="30"/>
        </w:rPr>
      </w:pPr>
      <w:r>
        <w:rPr>
          <w:color w:val="000000"/>
          <w:spacing w:val="0"/>
          <w:w w:val="100"/>
          <w:position w:val="0"/>
          <w:sz w:val="30"/>
          <w:szCs w:val="3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4.05.2023</w:t>
        <w:tab/>
      </w:r>
      <w:r>
        <w:fldChar w:fldCharType="end"/>
      </w:r>
      <w:r>
        <w:rPr>
          <w:color w:val="000000"/>
          <w:spacing w:val="0"/>
          <w:w w:val="100"/>
          <w:position w:val="0"/>
          <w:sz w:val="30"/>
          <w:szCs w:val="30"/>
          <w:shd w:val="clear" w:color="auto" w:fill="auto"/>
          <w:lang w:val="ru-RU" w:eastAsia="ru-RU" w:bidi="ru-RU"/>
        </w:rPr>
        <w:t>№ НГ/2972/23</w:t>
      </w:r>
    </w:p>
    <w:p>
      <w:pPr>
        <w:pStyle w:val="Style10"/>
        <w:keepNext w:val="0"/>
        <w:keepLines w:val="0"/>
        <w:widowControl w:val="0"/>
        <w:shd w:val="clear" w:color="auto" w:fill="auto"/>
        <w:bidi w:val="0"/>
        <w:spacing w:before="0" w:after="580" w:line="240" w:lineRule="auto"/>
        <w:ind w:left="0" w:right="0" w:firstLine="0"/>
        <w:jc w:val="both"/>
      </w:pPr>
      <w:r>
        <w:rPr>
          <w:b w:val="0"/>
          <w:bCs w:val="0"/>
          <w:spacing w:val="0"/>
          <w:w w:val="100"/>
          <w:position w:val="0"/>
          <w:shd w:val="clear" w:color="auto" w:fill="auto"/>
          <w:lang w:val="ru-RU" w:eastAsia="ru-RU" w:bidi="ru-RU"/>
        </w:rPr>
        <w:t xml:space="preserve">На №  от</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 по жалобе ООО "ЗСТ" реестровый номер № 011/06/49- 354/2023</w:t>
      </w:r>
    </w:p>
    <w:p>
      <w:pPr>
        <w:pStyle w:val="Style4"/>
        <w:keepNext w:val="0"/>
        <w:keepLines w:val="0"/>
        <w:widowControl w:val="0"/>
        <w:shd w:val="clear" w:color="auto" w:fill="auto"/>
        <w:bidi w:val="0"/>
        <w:spacing w:before="0" w:after="0" w:line="288" w:lineRule="auto"/>
        <w:ind w:left="0" w:right="0" w:firstLine="740"/>
        <w:jc w:val="left"/>
        <w:rPr>
          <w:sz w:val="17"/>
          <w:szCs w:val="17"/>
        </w:rPr>
      </w:pPr>
      <w:r>
        <w:rPr>
          <w:b/>
          <w:bCs/>
          <w:spacing w:val="0"/>
          <w:w w:val="100"/>
          <w:position w:val="0"/>
          <w:sz w:val="17"/>
          <w:szCs w:val="17"/>
          <w:shd w:val="clear" w:color="auto" w:fill="auto"/>
          <w:lang w:val="ru-RU" w:eastAsia="ru-RU" w:bidi="ru-RU"/>
        </w:rPr>
        <w:t>ФЕДЕРАЛЬНОЙ</w:t>
      </w:r>
    </w:p>
    <w:p>
      <w:pPr>
        <w:pStyle w:val="Style4"/>
        <w:keepNext w:val="0"/>
        <w:keepLines w:val="0"/>
        <w:widowControl w:val="0"/>
        <w:shd w:val="clear" w:color="auto" w:fill="auto"/>
        <w:bidi w:val="0"/>
        <w:spacing w:before="0" w:after="120" w:line="288" w:lineRule="auto"/>
        <w:ind w:left="0" w:right="0" w:firstLine="0"/>
        <w:jc w:val="left"/>
        <w:rPr>
          <w:sz w:val="17"/>
          <w:szCs w:val="17"/>
        </w:rPr>
      </w:pPr>
      <w:r>
        <w:rPr>
          <w:b/>
          <w:bCs/>
          <w:spacing w:val="0"/>
          <w:w w:val="100"/>
          <w:position w:val="0"/>
          <w:sz w:val="17"/>
          <w:szCs w:val="17"/>
          <w:shd w:val="clear" w:color="auto" w:fill="auto"/>
          <w:lang w:val="ru-RU" w:eastAsia="ru-RU" w:bidi="ru-RU"/>
        </w:rPr>
        <w:t>АНТИМОНОПОЛЬНОЙ СЛУЖБА</w:t>
      </w:r>
    </w:p>
    <w:p>
      <w:pPr>
        <w:pStyle w:val="Style1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службалбн Коми Республиками</w:t>
      </w:r>
    </w:p>
    <w:p>
      <w:pPr>
        <w:pStyle w:val="Style10"/>
        <w:keepNext w:val="0"/>
        <w:keepLines w:val="0"/>
        <w:widowControl w:val="0"/>
        <w:shd w:val="clear" w:color="auto" w:fill="auto"/>
        <w:bidi w:val="0"/>
        <w:spacing w:before="0" w:after="280" w:line="240" w:lineRule="auto"/>
        <w:ind w:left="0" w:right="0" w:firstLine="620"/>
        <w:jc w:val="left"/>
      </w:pPr>
      <w:r>
        <w:rPr>
          <w:spacing w:val="0"/>
          <w:w w:val="100"/>
          <w:position w:val="0"/>
          <w:shd w:val="clear" w:color="auto" w:fill="auto"/>
          <w:lang w:val="ru-RU" w:eastAsia="ru-RU" w:bidi="ru-RU"/>
        </w:rPr>
        <w:t>ВЕСЬКОДЛАНШ</w:t>
      </w:r>
    </w:p>
    <w:p>
      <w:pPr>
        <w:pStyle w:val="Style4"/>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тел./факс: (8212) 21-41-29</w:t>
      </w:r>
    </w:p>
    <w:p>
      <w:pPr>
        <w:pStyle w:val="Style4"/>
        <w:keepNext w:val="0"/>
        <w:keepLines w:val="0"/>
        <w:widowControl w:val="0"/>
        <w:shd w:val="clear" w:color="auto" w:fill="auto"/>
        <w:bidi w:val="0"/>
        <w:spacing w:before="0" w:after="0"/>
        <w:ind w:left="0" w:right="0" w:firstLine="620"/>
        <w:jc w:val="both"/>
      </w:pPr>
      <w:r>
        <w:rPr>
          <w:spacing w:val="0"/>
          <w:w w:val="100"/>
          <w:position w:val="0"/>
          <w:shd w:val="clear" w:color="auto" w:fill="auto"/>
          <w:lang w:val="ru-RU" w:eastAsia="ru-RU" w:bidi="ru-RU"/>
        </w:rPr>
        <w:t>е-таП: 1о11@Га8.§оу.га</w:t>
      </w:r>
    </w:p>
    <w:p>
      <w:pPr>
        <w:pStyle w:val="Style2"/>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ru-RU" w:eastAsia="ru-RU" w:bidi="ru-RU"/>
        </w:rPr>
        <w:t>Заявитель:</w:t>
      </w:r>
    </w:p>
    <w:p>
      <w:pPr>
        <w:pStyle w:val="Style2"/>
        <w:keepNext w:val="0"/>
        <w:keepLines w:val="0"/>
        <w:widowControl w:val="0"/>
        <w:shd w:val="clear" w:color="auto" w:fill="auto"/>
        <w:bidi w:val="0"/>
        <w:spacing w:before="0" w:after="0" w:line="240" w:lineRule="auto"/>
        <w:ind w:left="700" w:right="0" w:firstLine="0"/>
        <w:jc w:val="right"/>
      </w:pPr>
      <w:r>
        <w:rPr>
          <w:b/>
          <w:bCs/>
          <w:color w:val="000000"/>
          <w:spacing w:val="0"/>
          <w:w w:val="100"/>
          <w:position w:val="0"/>
          <w:shd w:val="clear" w:color="auto" w:fill="auto"/>
          <w:lang w:val="ru-RU" w:eastAsia="ru-RU" w:bidi="ru-RU"/>
        </w:rPr>
        <w:t>Общество с ограниченной ответственностью</w:t>
      </w:r>
    </w:p>
    <w:p>
      <w:pPr>
        <w:pStyle w:val="Style2"/>
        <w:keepNext w:val="0"/>
        <w:keepLines w:val="0"/>
        <w:widowControl w:val="0"/>
        <w:shd w:val="clear" w:color="auto" w:fill="auto"/>
        <w:bidi w:val="0"/>
        <w:spacing w:before="0" w:after="120" w:line="240" w:lineRule="auto"/>
        <w:ind w:left="0" w:right="0" w:firstLine="360"/>
        <w:jc w:val="both"/>
      </w:pPr>
      <w:r>
        <w:rPr>
          <w:b/>
          <w:bCs/>
          <w:color w:val="000000"/>
          <w:spacing w:val="0"/>
          <w:w w:val="100"/>
          <w:position w:val="0"/>
          <w:shd w:val="clear" w:color="auto" w:fill="auto"/>
          <w:lang w:val="ru-RU" w:eastAsia="ru-RU" w:bidi="ru-RU"/>
        </w:rPr>
        <w:t>«Завод специальной техники»</w:t>
      </w:r>
    </w:p>
    <w:p>
      <w:pPr>
        <w:pStyle w:val="Style2"/>
        <w:keepNext w:val="0"/>
        <w:keepLines w:val="0"/>
        <w:widowControl w:val="0"/>
        <w:shd w:val="clear" w:color="auto" w:fill="auto"/>
        <w:bidi w:val="0"/>
        <w:spacing w:before="120" w:after="0" w:line="240" w:lineRule="auto"/>
        <w:ind w:left="0" w:right="0" w:firstLine="0"/>
        <w:jc w:val="right"/>
        <w:sectPr>
          <w:footerReference w:type="default" r:id="rId7"/>
          <w:footerReference w:type="first" r:id="rId8"/>
          <w:footnotePr>
            <w:pos w:val="pageBottom"/>
            <w:numFmt w:val="decimal"/>
            <w:numRestart w:val="continuous"/>
          </w:footnotePr>
          <w:pgSz w:w="11900" w:h="16840"/>
          <w:pgMar w:top="423" w:right="651" w:bottom="1313" w:left="1106" w:header="0" w:footer="3" w:gutter="0"/>
          <w:pgNumType w:start="1"/>
          <w:cols w:num="2" w:space="1957"/>
          <w:noEndnote/>
          <w:titlePg/>
          <w:rtlGutter w:val="0"/>
          <w:docGrid w:linePitch="360"/>
        </w:sectPr>
      </w:pPr>
      <w:r>
        <w:rPr>
          <w:b/>
          <w:bCs/>
          <w:color w:val="000000"/>
          <w:spacing w:val="0"/>
          <w:w w:val="100"/>
          <w:position w:val="0"/>
          <w:shd w:val="clear" w:color="auto" w:fill="auto"/>
          <w:lang w:val="ru-RU" w:eastAsia="ru-RU" w:bidi="ru-RU"/>
        </w:rPr>
        <w:t>Заказчик:</w:t>
      </w:r>
    </w:p>
    <w:p>
      <w:pPr>
        <w:pStyle w:val="Style2"/>
        <w:keepNext w:val="0"/>
        <w:keepLines w:val="0"/>
        <w:widowControl w:val="0"/>
        <w:shd w:val="clear" w:color="auto" w:fill="auto"/>
        <w:bidi w:val="0"/>
        <w:spacing w:before="0" w:after="260" w:line="240" w:lineRule="auto"/>
        <w:ind w:left="5340" w:right="0" w:firstLine="0"/>
        <w:jc w:val="right"/>
      </w:pPr>
      <w:r>
        <w:rPr>
          <w:b/>
          <w:bCs/>
          <w:color w:val="000000"/>
          <w:spacing w:val="0"/>
          <w:w w:val="100"/>
          <w:position w:val="0"/>
          <w:shd w:val="clear" w:color="auto" w:fill="auto"/>
          <w:lang w:val="ru-RU" w:eastAsia="ru-RU" w:bidi="ru-RU"/>
        </w:rPr>
        <w:t>Государственное бюджетное учреждение Республики Коми «Центр сопровождения деятельности учреждений культуры, туризма и архивного дела»</w:t>
      </w:r>
    </w:p>
    <w:p>
      <w:pPr>
        <w:pStyle w:val="Style2"/>
        <w:keepNext w:val="0"/>
        <w:keepLines w:val="0"/>
        <w:widowControl w:val="0"/>
        <w:shd w:val="clear" w:color="auto" w:fill="auto"/>
        <w:bidi w:val="0"/>
        <w:spacing w:before="0" w:after="260" w:line="240" w:lineRule="auto"/>
        <w:ind w:left="0" w:right="0" w:firstLine="0"/>
        <w:jc w:val="right"/>
      </w:pPr>
      <w:r>
        <w:rPr>
          <w:color w:val="000000"/>
          <w:spacing w:val="0"/>
          <w:w w:val="100"/>
          <w:position w:val="0"/>
          <w:shd w:val="clear" w:color="auto" w:fill="auto"/>
          <w:lang w:val="ru-RU" w:eastAsia="ru-RU" w:bidi="ru-RU"/>
        </w:rPr>
        <w:t>через Единую информационную систему</w:t>
      </w:r>
    </w:p>
    <w:p>
      <w:pPr>
        <w:pStyle w:val="Style2"/>
        <w:keepNext w:val="0"/>
        <w:keepLines w:val="0"/>
        <w:widowControl w:val="0"/>
        <w:shd w:val="clear" w:color="auto" w:fill="auto"/>
        <w:bidi w:val="0"/>
        <w:spacing w:before="0" w:after="260" w:line="240" w:lineRule="auto"/>
        <w:ind w:left="5500" w:right="0" w:firstLine="0"/>
        <w:jc w:val="right"/>
      </w:pPr>
      <w:r>
        <w:rPr>
          <w:b/>
          <w:bCs/>
          <w:color w:val="000000"/>
          <w:spacing w:val="0"/>
          <w:w w:val="100"/>
          <w:position w:val="0"/>
          <w:shd w:val="clear" w:color="auto" w:fill="auto"/>
          <w:lang w:val="ru-RU" w:eastAsia="ru-RU" w:bidi="ru-RU"/>
        </w:rPr>
        <w:t>Уполномоченный орган: Государственное казенное учреждение Республики Коми «Центр обеспечения организации и проведения торгов»</w:t>
      </w:r>
    </w:p>
    <w:p>
      <w:pPr>
        <w:pStyle w:val="Style2"/>
        <w:keepNext w:val="0"/>
        <w:keepLines w:val="0"/>
        <w:widowControl w:val="0"/>
        <w:shd w:val="clear" w:color="auto" w:fill="auto"/>
        <w:bidi w:val="0"/>
        <w:spacing w:before="0" w:after="260" w:line="240" w:lineRule="auto"/>
        <w:ind w:left="5540" w:right="0" w:firstLine="0"/>
        <w:jc w:val="both"/>
      </w:pPr>
      <w:r>
        <w:rPr>
          <w:color w:val="000000"/>
          <w:spacing w:val="0"/>
          <w:w w:val="100"/>
          <w:position w:val="0"/>
          <w:shd w:val="clear" w:color="auto" w:fill="auto"/>
          <w:lang w:val="ru-RU" w:eastAsia="ru-RU" w:bidi="ru-RU"/>
        </w:rPr>
        <w:t>через единую информационную систему</w:t>
      </w:r>
    </w:p>
    <w:p>
      <w:pPr>
        <w:pStyle w:val="Style2"/>
        <w:keepNext w:val="0"/>
        <w:keepLines w:val="0"/>
        <w:widowControl w:val="0"/>
        <w:shd w:val="clear" w:color="auto" w:fill="auto"/>
        <w:bidi w:val="0"/>
        <w:spacing w:before="0" w:after="260" w:line="240" w:lineRule="auto"/>
        <w:ind w:left="6900" w:right="0" w:firstLine="0"/>
        <w:jc w:val="right"/>
      </w:pPr>
      <w:r>
        <w:rPr>
          <w:b/>
          <w:bCs/>
          <w:color w:val="000000"/>
          <w:spacing w:val="0"/>
          <w:w w:val="100"/>
          <w:position w:val="0"/>
          <w:shd w:val="clear" w:color="auto" w:fill="auto"/>
          <w:lang w:val="ru-RU" w:eastAsia="ru-RU" w:bidi="ru-RU"/>
        </w:rPr>
        <w:t>Общество с ограниченной ответственностью «РТС-Тендер»</w:t>
      </w:r>
    </w:p>
    <w:p>
      <w:pPr>
        <w:pStyle w:val="Style2"/>
        <w:keepNext w:val="0"/>
        <w:keepLines w:val="0"/>
        <w:widowControl w:val="0"/>
        <w:shd w:val="clear" w:color="auto" w:fill="auto"/>
        <w:bidi w:val="0"/>
        <w:spacing w:before="0" w:after="660" w:line="240" w:lineRule="auto"/>
        <w:ind w:left="0" w:right="0" w:firstLine="0"/>
        <w:jc w:val="right"/>
      </w:pPr>
      <w:r>
        <w:rPr>
          <w:color w:val="000000"/>
          <w:spacing w:val="0"/>
          <w:w w:val="100"/>
          <w:position w:val="0"/>
          <w:shd w:val="clear" w:color="auto" w:fill="auto"/>
          <w:lang w:val="ru-RU" w:eastAsia="ru-RU" w:bidi="ru-RU"/>
        </w:rPr>
        <w:t>ко@й8-1:еп4ег.ги</w:t>
      </w:r>
    </w:p>
    <w:p>
      <w:pPr>
        <w:pStyle w:val="Style17"/>
        <w:keepNext/>
        <w:keepLines/>
        <w:widowControl w:val="0"/>
        <w:shd w:val="clear" w:color="auto" w:fill="auto"/>
        <w:bidi w:val="0"/>
        <w:spacing w:before="0" w:after="0" w:line="240" w:lineRule="auto"/>
        <w:ind w:left="0" w:right="0" w:firstLine="0"/>
        <w:jc w:val="center"/>
        <w:rPr>
          <w:sz w:val="28"/>
          <w:szCs w:val="28"/>
        </w:rPr>
      </w:pPr>
      <w:bookmarkStart w:id="0" w:name="bookmark0"/>
      <w:r>
        <w:rPr>
          <w:b/>
          <w:bCs/>
          <w:color w:val="000000"/>
          <w:spacing w:val="0"/>
          <w:w w:val="100"/>
          <w:position w:val="0"/>
          <w:sz w:val="28"/>
          <w:szCs w:val="28"/>
          <w:shd w:val="clear" w:color="auto" w:fill="auto"/>
          <w:lang w:val="ru-RU" w:eastAsia="ru-RU" w:bidi="ru-RU"/>
        </w:rPr>
        <w:t>РЕШЕНИЕ</w:t>
      </w:r>
      <w:bookmarkEnd w:id="0"/>
    </w:p>
    <w:p>
      <w:pPr>
        <w:pStyle w:val="Style2"/>
        <w:keepNext w:val="0"/>
        <w:keepLines w:val="0"/>
        <w:widowControl w:val="0"/>
        <w:shd w:val="clear" w:color="auto" w:fill="auto"/>
        <w:bidi w:val="0"/>
        <w:spacing w:before="0" w:after="260" w:line="240" w:lineRule="auto"/>
        <w:ind w:left="3660" w:right="0" w:firstLine="0"/>
        <w:jc w:val="both"/>
      </w:pPr>
      <w:r>
        <w:rPr>
          <w:color w:val="000000"/>
          <w:spacing w:val="0"/>
          <w:w w:val="100"/>
          <w:position w:val="0"/>
          <w:shd w:val="clear" w:color="auto" w:fill="auto"/>
          <w:lang w:val="ru-RU" w:eastAsia="ru-RU" w:bidi="ru-RU"/>
        </w:rPr>
        <w:t>по жалобе № 011/06/49-354/2023</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вынесения решения — 28.04.2023</w:t>
      </w:r>
    </w:p>
    <w:p>
      <w:pPr>
        <w:pStyle w:val="Style2"/>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Дата изготовления решения в полном объеме — 03.05.2023</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Комиссия Управления Федеральной антимонопольной службы по Республике Коми по </w:t>
      </w:r>
      <w:r>
        <w:rPr>
          <w:color w:val="000000"/>
          <w:spacing w:val="0"/>
          <w:w w:val="100"/>
          <w:position w:val="0"/>
          <w:shd w:val="clear" w:color="auto" w:fill="auto"/>
          <w:lang w:val="ru-RU" w:eastAsia="ru-RU" w:bidi="ru-RU"/>
        </w:rPr>
        <w:t>контролю в сфере закупок, созданная приказом Коми УФАС России от 03.11.2022 № 156 «О создании комиссии по контролю в сфере закупок» в составе: Гуревской Н.В. - руководителя управления, председателя Комиссии; Мокиенко А.А. - специалиста-эксперта отдела контроля закупок управления, члена Комиссии; Растегаевой А.Д. - специалиста- эксперта отдела контроля закупок управления, члена Комиссии (далее - Комиссия Коми УФАС России), рассмотрев жалобу общества с ограниченной ответственностью «Завод специальной техники» (603051, г. Нижний Новгород, ул. Гордеевская, д. 59А, корп. 10, оф. 202А; ОГРН: 1205200008408, ИНН: 5263143030, КПП: 525701001) (далее - ООО «ЗСТ») от 21.04.2023 № 21/2023 (вх. от 21.04.2023 № 2000-э.) на действия аукционной комиссии - государственного казенного учреждения Республики Коми «Центр обеспечения организации и проведения торгов» (167000, Республика Коми, г. Сыктывкар, ул. Коммунистическая, д. 8; ОГРН: 1111101004420, ИНН: 1101486861, КПП: 110101001) (далее - ГКУ РК «ЦООиПТ») при осуществлении закупки путем проведения электронного аукциона «Поставка автобуса», извещение №</w:t>
      </w:r>
      <w:r>
        <w:fldChar w:fldCharType="begin"/>
      </w:r>
      <w:r>
        <w:rPr/>
        <w:instrText> HYPERLINK "https://zakupki.gov.ru/epz/order/notice/ea20/view/common-info.html?regNumber=0307200030623000826" </w:instrText>
      </w:r>
      <w:r>
        <w:fldChar w:fldCharType="separate"/>
      </w:r>
      <w:r>
        <w:rPr>
          <w:color w:val="000000"/>
          <w:spacing w:val="0"/>
          <w:w w:val="100"/>
          <w:position w:val="0"/>
          <w:shd w:val="clear" w:color="auto" w:fill="auto"/>
          <w:lang w:val="ru-RU" w:eastAsia="ru-RU" w:bidi="ru-RU"/>
        </w:rPr>
        <w:t xml:space="preserve"> 0307200030623000826 </w:t>
      </w:r>
      <w:r>
        <w:fldChar w:fldCharType="end"/>
      </w:r>
      <w:r>
        <w:rPr>
          <w:color w:val="000000"/>
          <w:spacing w:val="0"/>
          <w:w w:val="100"/>
          <w:position w:val="0"/>
          <w:shd w:val="clear" w:color="auto" w:fill="auto"/>
          <w:lang w:val="ru-RU" w:eastAsia="ru-RU" w:bidi="ru-RU"/>
        </w:rPr>
        <w:t>(далее - жалоба),</w:t>
      </w:r>
    </w:p>
    <w:p>
      <w:pPr>
        <w:widowControl w:val="0"/>
        <w:spacing w:line="1" w:lineRule="exact"/>
      </w:pPr>
      <w:r>
        <w:drawing>
          <wp:anchor distT="88900" distB="0" distL="0" distR="0" simplePos="0" relativeHeight="125829381" behindDoc="0" locked="0" layoutInCell="1" allowOverlap="1">
            <wp:simplePos x="0" y="0"/>
            <wp:positionH relativeFrom="page">
              <wp:posOffset>714375</wp:posOffset>
            </wp:positionH>
            <wp:positionV relativeFrom="paragraph">
              <wp:posOffset>88900</wp:posOffset>
            </wp:positionV>
            <wp:extent cx="1517650"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1517650" cy="292735"/>
                    </a:xfrm>
                    <a:prstGeom prst="rect"/>
                  </pic:spPr>
                </pic:pic>
              </a:graphicData>
            </a:graphic>
          </wp:anchor>
        </w:drawing>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в рассмотрении (посредством видеоконференц-связи):</w:t>
      </w:r>
    </w:p>
    <w:p>
      <w:pPr>
        <w:pStyle w:val="Style2"/>
        <w:keepNext w:val="0"/>
        <w:keepLines w:val="0"/>
        <w:widowControl w:val="0"/>
        <w:numPr>
          <w:ilvl w:val="0"/>
          <w:numId w:val="1"/>
        </w:numPr>
        <w:shd w:val="clear" w:color="auto" w:fill="auto"/>
        <w:tabs>
          <w:tab w:pos="93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Никитиной Е.О. - директора ООО «ЗСТ» по решению № 4 от 14.02.2023 единственного учредителя общества с ограниченной ответственностью «ЗСТ»;</w:t>
      </w:r>
    </w:p>
    <w:p>
      <w:pPr>
        <w:pStyle w:val="Style2"/>
        <w:keepNext w:val="0"/>
        <w:keepLines w:val="0"/>
        <w:widowControl w:val="0"/>
        <w:numPr>
          <w:ilvl w:val="0"/>
          <w:numId w:val="1"/>
        </w:numPr>
        <w:shd w:val="clear" w:color="auto" w:fill="auto"/>
        <w:tabs>
          <w:tab w:pos="94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Рычкова А.Ю. - представителя ГБУ РК «Центр сопровождения деятельности учреждений культуры, туризма и архивного дела» (далее - ГБУ РК «Центр сопровождения деятельности учреждений») по доверенности от 27.04.2023;</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в рассмотрении (очно):</w:t>
      </w:r>
    </w:p>
    <w:p>
      <w:pPr>
        <w:pStyle w:val="Style2"/>
        <w:keepNext w:val="0"/>
        <w:keepLines w:val="0"/>
        <w:widowControl w:val="0"/>
        <w:numPr>
          <w:ilvl w:val="0"/>
          <w:numId w:val="1"/>
        </w:numPr>
        <w:shd w:val="clear" w:color="auto" w:fill="auto"/>
        <w:tabs>
          <w:tab w:pos="909" w:val="left"/>
        </w:tabs>
        <w:bidi w:val="0"/>
        <w:spacing w:before="0" w:after="0" w:line="262" w:lineRule="auto"/>
        <w:ind w:left="0" w:right="0" w:firstLine="720"/>
        <w:jc w:val="both"/>
      </w:pPr>
      <w:r>
        <w:rPr>
          <w:color w:val="000000"/>
          <w:spacing w:val="0"/>
          <w:w w:val="100"/>
          <w:position w:val="0"/>
          <w:shd w:val="clear" w:color="auto" w:fill="auto"/>
          <w:lang w:val="ru-RU" w:eastAsia="ru-RU" w:bidi="ru-RU"/>
        </w:rPr>
        <w:t>Попова Н.В. - представителя ГКУ РК «ЦООиПТ» по доверенности от 27.03.2023 № 13;</w:t>
      </w:r>
    </w:p>
    <w:p>
      <w:pPr>
        <w:pStyle w:val="Style2"/>
        <w:keepNext w:val="0"/>
        <w:keepLines w:val="0"/>
        <w:widowControl w:val="0"/>
        <w:numPr>
          <w:ilvl w:val="0"/>
          <w:numId w:val="1"/>
        </w:numPr>
        <w:shd w:val="clear" w:color="auto" w:fill="auto"/>
        <w:tabs>
          <w:tab w:pos="90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Якимовой Ю.А. - представителя ГКУ РК «ЦООиПТ» по доверенности от 10.01.2023 № 2,</w:t>
      </w:r>
    </w:p>
    <w:p>
      <w:pPr>
        <w:pStyle w:val="Style2"/>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2"/>
        <w:keepNext w:val="0"/>
        <w:keepLines w:val="0"/>
        <w:widowControl w:val="0"/>
        <w:shd w:val="clear" w:color="auto" w:fill="auto"/>
        <w:tabs>
          <w:tab w:pos="991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Управление Федеральной антимонопольной службы по Республике Коми с использованием Единой информационной системы в сфере закупок поступила жалоба ООО «ЗСТ» от 21.04.2022 № 21/2023 (вх. от 21.04.2023 № 2000-э.) на действия аукционной комиссии - ГКУ РК «ЦООиПТ» при осуществлении закупки путем проведения электронного аукциона «Поставка автобуса», извещение</w:t>
        <w:tab/>
        <w:t>№</w:t>
      </w:r>
    </w:p>
    <w:p>
      <w:pPr>
        <w:pStyle w:val="Style2"/>
        <w:keepNext w:val="0"/>
        <w:keepLines w:val="0"/>
        <w:widowControl w:val="0"/>
        <w:shd w:val="clear" w:color="auto" w:fill="auto"/>
        <w:bidi w:val="0"/>
        <w:spacing w:before="0" w:after="0" w:line="240" w:lineRule="auto"/>
        <w:ind w:left="0" w:right="0" w:firstLine="0"/>
        <w:jc w:val="both"/>
      </w:pPr>
      <w:r>
        <w:fldChar w:fldCharType="begin"/>
      </w:r>
      <w:r>
        <w:rPr/>
        <w:instrText> HYPERLINK "https://zakupki.gov.ru/epz/order/notice/ea20/view/common-info.html?regNumber=0307200015923000183" </w:instrText>
      </w:r>
      <w:r>
        <w:fldChar w:fldCharType="separate"/>
      </w:r>
      <w:r>
        <w:rPr>
          <w:color w:val="000000"/>
          <w:spacing w:val="0"/>
          <w:w w:val="100"/>
          <w:position w:val="0"/>
          <w:shd w:val="clear" w:color="auto" w:fill="auto"/>
          <w:lang w:val="ru-RU" w:eastAsia="ru-RU" w:bidi="ru-RU"/>
        </w:rPr>
        <w:t xml:space="preserve">0307200015923000183 </w:t>
      </w:r>
      <w:r>
        <w:fldChar w:fldCharType="end"/>
      </w:r>
      <w:r>
        <w:rPr>
          <w:color w:val="000000"/>
          <w:spacing w:val="0"/>
          <w:w w:val="100"/>
          <w:position w:val="0"/>
          <w:shd w:val="clear" w:color="auto" w:fill="auto"/>
          <w:lang w:val="ru-RU" w:eastAsia="ru-RU" w:bidi="ru-RU"/>
        </w:rPr>
        <w:t>(далее - закупка, электронный аукцион).</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связи с чем, принята Коми УФАС России к рассмотрению.</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«ЗСТ», ГБУ РК «Центр сопровождения деятельности», ГКУ РК «ЦООиПТ», общество с ограниченной ответственностью «РТС-Тендер» (далее - оператор электронной площадки) надлежащим образом о времени и месте рассмотрения жалобы извещены посредством электронной почты.</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«ЗСТ» письмом от 26.04.2023 (вх. от 27.04.2023 № 2082-э.) заявлено ходатайство об участии в заседании по рассмотрению жалобы посредством видеоконференц-связи.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связи с наличием технической возможности, ходатайство ИП Солуданова Ю.Д. удовлетворено письмом Коми УФАС России от 27.04.2023 № 03-06/2836; жалоба рассмотрена посредством видеоконференц-связи.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ГБУ РК «Центр сопровождения деятельности» письмом от 27.04.2023 № 62 (вх. от 27.04.2023 № 2111-э.) представлены дополнительные пояснения и копии документов.</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ГКУ РК «ЦООиПТ» письмом от 27.04.2023 № 09-02/32 (вх. от 27.04.2023 № 1402) представлены дополнительные пояснения и копии документов.</w:t>
      </w:r>
    </w:p>
    <w:p>
      <w:pPr>
        <w:pStyle w:val="Style2"/>
        <w:keepNext w:val="0"/>
        <w:keepLines w:val="0"/>
        <w:widowControl w:val="0"/>
        <w:shd w:val="clear" w:color="auto" w:fill="auto"/>
        <w:tabs>
          <w:tab w:pos="991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ООО «ЗСТ» обжалованы действия аукционной комиссии - ГКУ РК «ЦООиПТ» в части неправомерного и необоснованного отклонения его заявки на участие в закупке по пунктам 1, 5 части 12 статьи 48 Закона о контрактной системе, а именно, участником закупки представлена характеристика товара, не соответствующая описанию объекта закупки: по характеристике товара «Мощность двигателя, л.с.» участник указал «49,6» при требуемом значении характеристики товара «Не менее 139»; а также участником закупки приложена выписка из реестра российской промышленной продукции</w:t>
        <w:tab/>
        <w:t>№</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4589\56\2022 от 03.03.2023, которая по технический характеристике товара «Мощность двигателя: 139, 7 л.с.» не соответствует характеристике товара, указанной в заявке участника: «Мощность двигателя, л.с.: 49,6».</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Коми УФАС России в ходе рассмотрения жалобы, проведения внеплановой проверки осуществления закупки в соответствии с пунктом 1 части 15 статьи 99 Закона о контрактной системе, изучив представленные материалы, пришла к нижеследующим выводам.</w:t>
      </w:r>
    </w:p>
    <w:p>
      <w:pPr>
        <w:pStyle w:val="Style2"/>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ru-RU" w:eastAsia="ru-RU" w:bidi="ru-RU"/>
        </w:rPr>
        <w:t>Заказчиком осуществления закупки путем проведения электронного аукциона явилось ГБУ РК «Центр сопровождения деятельности учреждений».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 закупки - «Поставка автобуса».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составила 5 253 333,33 руб.</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Источником финансирования закупки явились субвенции из федерального бюджета республиканскому бюджету Республики Коми.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о проведении закупки размещено на официальном сайте Единой информационной системы в сфере закупок \\\\\\. /акиркгдоу.ги (далее - ЕИС) - 05.04.2023.</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Изменение извещения о проведении электронного аукциона размешено в ЕИС - 07.04.2023.</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- 13.04.2023 07:00.</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- 13.04.2023.</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подведения определения поставщика (подрядчика, исполнителя) - 17.04.2023.</w:t>
      </w:r>
    </w:p>
    <w:p>
      <w:pPr>
        <w:pStyle w:val="Style2"/>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В силу частей 1, 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части 3 статьи 7 Закона о контрактной системе, информация, предусмотренная настоящим Федеральным законом и размещенная в единой </w:t>
      </w:r>
      <w:r>
        <w:rPr>
          <w:color w:val="000000"/>
          <w:spacing w:val="0"/>
          <w:w w:val="100"/>
          <w:position w:val="0"/>
          <w:shd w:val="clear" w:color="auto" w:fill="auto"/>
          <w:lang w:val="ru-RU" w:eastAsia="ru-RU" w:bidi="ru-RU"/>
        </w:rPr>
        <w:t>информационной системе, должна быть полной и достоверной.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Одним из конкурентных способов определения поставщиков (подрядчиков, исполнителей) является, согласно части 2 статьи 24 Закона о контрактной системе, в том числе аукцион в электронной форме.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описание объекта закупки в соответствии со статьей 33 настоящего Федерального закона.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пунктов 1, 2 части 1, части 2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Описание объекта закупки, в соответствии с требованиями, указанными в части 1 </w:t>
      </w:r>
      <w:r>
        <w:rPr>
          <w:color w:val="000000"/>
          <w:spacing w:val="0"/>
          <w:w w:val="100"/>
          <w:position w:val="0"/>
          <w:shd w:val="clear" w:color="auto" w:fill="auto"/>
          <w:lang w:val="ru-RU" w:eastAsia="ru-RU" w:bidi="ru-RU"/>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части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2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xml:space="preserve">Согласно описанию объекта закупки, размещенном в ЕИС, к поставке требуется товар со следующими функциональными, техническими и качественными </w:t>
      </w:r>
      <w:r>
        <w:rPr>
          <w:color w:val="000000"/>
          <w:spacing w:val="0"/>
          <w:w w:val="100"/>
          <w:position w:val="0"/>
          <w:u w:val="single"/>
          <w:shd w:val="clear" w:color="auto" w:fill="auto"/>
          <w:lang w:val="ru-RU" w:eastAsia="ru-RU" w:bidi="ru-RU"/>
        </w:rPr>
        <w:t>характеристиками:</w:t>
      </w:r>
    </w:p>
    <w:tbl>
      <w:tblPr>
        <w:tblOverlap w:val="never"/>
        <w:jc w:val="center"/>
        <w:tblLayout w:type="fixed"/>
      </w:tblPr>
      <w:tblGrid>
        <w:gridCol w:w="485"/>
        <w:gridCol w:w="1358"/>
        <w:gridCol w:w="624"/>
        <w:gridCol w:w="3475"/>
        <w:gridCol w:w="2842"/>
        <w:gridCol w:w="1541"/>
      </w:tblGrid>
      <w:tr>
        <w:trPr>
          <w:trHeight w:val="514" w:hRule="exact"/>
        </w:trPr>
        <w:tc>
          <w:tcPr>
            <w:vMerge w:val="restart"/>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 п/ п</w:t>
            </w:r>
          </w:p>
        </w:tc>
        <w:tc>
          <w:tcPr>
            <w:gridSpan w:val="4"/>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Показатели и значения показателей, позволяющие определить соответствие закупаемого товара установленным Заказчиком требованиям</w:t>
            </w:r>
          </w:p>
        </w:tc>
        <w:tc>
          <w:tcPr>
            <w:vMerge w:val="restart"/>
            <w:tcBorders>
              <w:top w:val="single" w:sz="4"/>
              <w:left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Кол-во, ед. изм.</w:t>
            </w:r>
          </w:p>
        </w:tc>
      </w:tr>
      <w:tr>
        <w:trPr>
          <w:trHeight w:val="1051"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Наименован ие товара</w:t>
            </w:r>
          </w:p>
        </w:tc>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 п/п</w:t>
            </w:r>
          </w:p>
        </w:tc>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Наименование характеристик товара, единица измерения</w:t>
            </w:r>
          </w:p>
        </w:tc>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Значение характеристики товара</w:t>
            </w:r>
          </w:p>
        </w:tc>
        <w:tc>
          <w:tcPr>
            <w:vMerge/>
            <w:tcBorders>
              <w:left w:val="single" w:sz="4"/>
              <w:right w:val="single" w:sz="4"/>
            </w:tcBorders>
            <w:shd w:val="clear" w:color="auto" w:fill="auto"/>
            <w:vAlign w:val="center"/>
          </w:tcPr>
          <w:p>
            <w:pPr/>
          </w:p>
        </w:tc>
      </w:tr>
      <w:tr>
        <w:trPr>
          <w:trHeight w:val="245" w:hRule="exact"/>
        </w:trPr>
        <w:tc>
          <w:tcPr>
            <w:vMerge w:val="restart"/>
            <w:tcBorders>
              <w:top w:val="single" w:sz="4"/>
              <w:left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1.</w:t>
            </w:r>
          </w:p>
        </w:tc>
        <w:tc>
          <w:tcPr>
            <w:vMerge w:val="restart"/>
            <w:tcBorders>
              <w:top w:val="single" w:sz="4"/>
              <w:left w:val="single" w:sz="4"/>
            </w:tcBorders>
            <w:shd w:val="clear" w:color="auto" w:fill="auto"/>
            <w:vAlign w:val="top"/>
          </w:tcPr>
          <w:p>
            <w:pPr>
              <w:pStyle w:val="Style12"/>
              <w:keepNext w:val="0"/>
              <w:keepLines w:val="0"/>
              <w:widowControl w:val="0"/>
              <w:shd w:val="clear" w:color="auto" w:fill="auto"/>
              <w:bidi w:val="0"/>
              <w:spacing w:before="0" w:after="20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Автобус</w:t>
            </w:r>
          </w:p>
          <w:p>
            <w:pPr>
              <w:pStyle w:val="Style1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29.10.30.000</w:t>
              <w:softHyphen/>
              <w:t>00000020</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1</w:t>
            </w:r>
          </w:p>
        </w:tc>
        <w:tc>
          <w:tcPr>
            <w:gridSpan w:val="2"/>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Обязательные характеристики</w:t>
            </w:r>
          </w:p>
        </w:tc>
        <w:tc>
          <w:tcPr>
            <w:vMerge w:val="restart"/>
            <w:tcBorders>
              <w:top w:val="single" w:sz="4"/>
              <w:left w:val="single" w:sz="4"/>
              <w:right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1 шт.</w:t>
            </w: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1.1.</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Категория автобуса</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М2</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1.2.</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Количество посадочных мест, шт.</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&gt; 20 и &lt; 25</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1.3.</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Тип двигателя</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Дизель</w:t>
            </w:r>
          </w:p>
        </w:tc>
        <w:tc>
          <w:tcPr>
            <w:vMerge/>
            <w:tcBorders>
              <w:left w:val="single" w:sz="4"/>
              <w:right w:val="single" w:sz="4"/>
            </w:tcBorders>
            <w:shd w:val="clear" w:color="auto" w:fill="auto"/>
            <w:vAlign w:val="top"/>
          </w:tcPr>
          <w:p>
            <w:pPr/>
          </w:p>
        </w:tc>
      </w:tr>
      <w:tr>
        <w:trPr>
          <w:trHeight w:val="23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1.4.</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Тип коробки передач</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Механика</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1.5.</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Тип привода</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Моноприводный</w:t>
            </w:r>
          </w:p>
        </w:tc>
        <w:tc>
          <w:tcPr>
            <w:vMerge/>
            <w:tcBorders>
              <w:left w:val="single" w:sz="4"/>
              <w:right w:val="single" w:sz="4"/>
            </w:tcBorders>
            <w:shd w:val="clear" w:color="auto" w:fill="auto"/>
            <w:vAlign w:val="top"/>
          </w:tcPr>
          <w:p>
            <w:pPr/>
          </w:p>
        </w:tc>
      </w:tr>
      <w:tr>
        <w:trPr>
          <w:trHeight w:val="25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w:t>
            </w:r>
          </w:p>
        </w:tc>
        <w:tc>
          <w:tcPr>
            <w:gridSpan w:val="2"/>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Дополнительные характеристики</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2.1.</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Мощность* двигателя, л.с.</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Не менее 139</w:t>
            </w:r>
          </w:p>
        </w:tc>
        <w:tc>
          <w:tcPr>
            <w:vMerge/>
            <w:tcBorders>
              <w:left w:val="single" w:sz="4"/>
              <w:right w:val="single" w:sz="4"/>
            </w:tcBorders>
            <w:shd w:val="clear" w:color="auto" w:fill="auto"/>
            <w:vAlign w:val="top"/>
          </w:tcPr>
          <w:p>
            <w:pPr/>
          </w:p>
        </w:tc>
      </w:tr>
      <w:tr>
        <w:trPr>
          <w:trHeight w:val="47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2.2.</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Максимальный крутящий момент*, Н*м</w:t>
            </w:r>
          </w:p>
        </w:tc>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Не более 330</w:t>
            </w:r>
          </w:p>
        </w:tc>
        <w:tc>
          <w:tcPr>
            <w:vMerge/>
            <w:tcBorders>
              <w:left w:val="single" w:sz="4"/>
              <w:right w:val="single" w:sz="4"/>
            </w:tcBorders>
            <w:shd w:val="clear" w:color="auto" w:fill="auto"/>
            <w:vAlign w:val="top"/>
          </w:tcPr>
          <w:p>
            <w:pPr/>
          </w:p>
        </w:tc>
      </w:tr>
      <w:tr>
        <w:trPr>
          <w:trHeight w:val="24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2.3.</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Рабочий объем* цилиндров, л</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Не менее 2499</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2.4.</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Экологический класс</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w:t>
            </w:r>
          </w:p>
        </w:tc>
        <w:tc>
          <w:tcPr>
            <w:vMerge/>
            <w:tcBorders>
              <w:left w:val="single" w:sz="4"/>
              <w:right w:val="single" w:sz="4"/>
            </w:tcBorders>
            <w:shd w:val="clear" w:color="auto" w:fill="auto"/>
            <w:vAlign w:val="top"/>
          </w:tcPr>
          <w:p>
            <w:pPr/>
          </w:p>
        </w:tc>
      </w:tr>
      <w:tr>
        <w:trPr>
          <w:trHeight w:val="23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2.5.</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Коробка передач*, ступени</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Не менее 5</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2.6.</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Грузоподъемность*, т</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Не менее 1</w:t>
            </w:r>
          </w:p>
        </w:tc>
        <w:tc>
          <w:tcPr>
            <w:vMerge/>
            <w:tcBorders>
              <w:left w:val="single" w:sz="4"/>
              <w:right w:val="single" w:sz="4"/>
            </w:tcBorders>
            <w:shd w:val="clear" w:color="auto" w:fill="auto"/>
            <w:vAlign w:val="top"/>
          </w:tcPr>
          <w:p>
            <w:pPr/>
          </w:p>
        </w:tc>
      </w:tr>
      <w:tr>
        <w:trPr>
          <w:trHeight w:val="24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2.7.</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Колесная база*, мм</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Не менее 3500</w:t>
            </w:r>
          </w:p>
        </w:tc>
        <w:tc>
          <w:tcPr>
            <w:vMerge/>
            <w:tcBorders>
              <w:left w:val="single" w:sz="4"/>
              <w:right w:val="single" w:sz="4"/>
            </w:tcBorders>
            <w:shd w:val="clear" w:color="auto" w:fill="auto"/>
            <w:vAlign w:val="top"/>
          </w:tcPr>
          <w:p>
            <w:pPr/>
          </w:p>
        </w:tc>
      </w:tr>
      <w:tr>
        <w:trPr>
          <w:trHeight w:val="23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2.8.</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Размер шин: 185/75 К16С</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25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2.9.</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Подвеска передних колес</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Независимая, рычажная</w:t>
            </w:r>
          </w:p>
        </w:tc>
        <w:tc>
          <w:tcPr>
            <w:vMerge/>
            <w:tcBorders>
              <w:left w:val="single" w:sz="4"/>
              <w:right w:val="single" w:sz="4"/>
            </w:tcBorders>
            <w:shd w:val="clear" w:color="auto" w:fill="auto"/>
            <w:vAlign w:val="top"/>
          </w:tcPr>
          <w:p>
            <w:pPr/>
          </w:p>
        </w:tc>
      </w:tr>
      <w:tr>
        <w:trPr>
          <w:trHeight w:val="23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2.10.</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Подвеска задних колес</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Рессорная</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2.11.</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Антиблокировочная система</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2.12.</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Колесная формула</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4х2</w:t>
            </w:r>
          </w:p>
        </w:tc>
        <w:tc>
          <w:tcPr>
            <w:vMerge/>
            <w:tcBorders>
              <w:left w:val="single" w:sz="4"/>
              <w:right w:val="single" w:sz="4"/>
            </w:tcBorders>
            <w:shd w:val="clear" w:color="auto" w:fill="auto"/>
            <w:vAlign w:val="top"/>
          </w:tcPr>
          <w:p>
            <w:pPr/>
          </w:p>
        </w:tc>
      </w:tr>
      <w:tr>
        <w:trPr>
          <w:trHeight w:val="48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2.13.</w:t>
            </w:r>
          </w:p>
        </w:tc>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Кузов</w:t>
            </w:r>
          </w:p>
        </w:tc>
        <w:tc>
          <w:tcPr>
            <w:tcBorders>
              <w:top w:val="single" w:sz="4"/>
              <w:left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Цельнометаллический, остекленный</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2.14.</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Длина*, мм</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Не менее 6900</w:t>
            </w:r>
          </w:p>
        </w:tc>
        <w:tc>
          <w:tcPr>
            <w:vMerge/>
            <w:tcBorders>
              <w:left w:val="single" w:sz="4"/>
              <w:right w:val="single" w:sz="4"/>
            </w:tcBorders>
            <w:shd w:val="clear" w:color="auto" w:fill="auto"/>
            <w:vAlign w:val="top"/>
          </w:tcPr>
          <w:p>
            <w:pPr/>
          </w:p>
        </w:tc>
      </w:tr>
      <w:tr>
        <w:trPr>
          <w:trHeight w:val="23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2.15.</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Ширина*, мм</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Не менее 2510</w:t>
            </w:r>
          </w:p>
        </w:tc>
        <w:tc>
          <w:tcPr>
            <w:vMerge/>
            <w:tcBorders>
              <w:left w:val="single" w:sz="4"/>
              <w:right w:val="single" w:sz="4"/>
            </w:tcBorders>
            <w:shd w:val="clear" w:color="auto" w:fill="auto"/>
            <w:vAlign w:val="top"/>
          </w:tcPr>
          <w:p>
            <w:pPr/>
          </w:p>
        </w:tc>
      </w:tr>
      <w:tr>
        <w:trPr>
          <w:trHeight w:val="24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2.16.</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Высота* по кабине, мм</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Не менее 2750</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2.17.</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Полная масса*, кг</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Не более 4950</w:t>
            </w:r>
          </w:p>
        </w:tc>
        <w:tc>
          <w:tcPr>
            <w:vMerge/>
            <w:tcBorders>
              <w:left w:val="single" w:sz="4"/>
              <w:right w:val="single" w:sz="4"/>
            </w:tcBorders>
            <w:shd w:val="clear" w:color="auto" w:fill="auto"/>
            <w:vAlign w:val="top"/>
          </w:tcPr>
          <w:p>
            <w:pPr/>
          </w:p>
        </w:tc>
      </w:tr>
      <w:tr>
        <w:trPr>
          <w:trHeight w:val="24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2.18.</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Дорожный просвет*, мм</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Не менее 170</w:t>
            </w:r>
          </w:p>
        </w:tc>
        <w:tc>
          <w:tcPr>
            <w:vMerge/>
            <w:tcBorders>
              <w:left w:val="single" w:sz="4"/>
              <w:right w:val="single" w:sz="4"/>
            </w:tcBorders>
            <w:shd w:val="clear" w:color="auto" w:fill="auto"/>
            <w:vAlign w:val="top"/>
          </w:tcPr>
          <w:p>
            <w:pPr/>
          </w:p>
        </w:tc>
      </w:tr>
      <w:tr>
        <w:trPr>
          <w:trHeight w:val="23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2.19.</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Гидроусилитель руля</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24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2.20.</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Ремни безопасности</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245" w:hRule="exact"/>
        </w:trPr>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2.21.</w:t>
            </w:r>
          </w:p>
        </w:tc>
        <w:tc>
          <w:tcPr>
            <w:tcBorders>
              <w:top w:val="single" w:sz="4"/>
              <w:left w:val="single" w:sz="4"/>
              <w:bottom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Предпусковой подогреватель</w:t>
            </w:r>
          </w:p>
        </w:tc>
        <w:tc>
          <w:tcPr>
            <w:tcBorders>
              <w:top w:val="single" w:sz="4"/>
              <w:left w:val="single" w:sz="4"/>
              <w:bottom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bottom w:val="single" w:sz="4"/>
              <w:right w:val="single" w:sz="4"/>
            </w:tcBorders>
            <w:shd w:val="clear" w:color="auto" w:fill="auto"/>
            <w:vAlign w:val="top"/>
          </w:tcPr>
          <w:p>
            <w:pPr/>
          </w:p>
        </w:tc>
      </w:tr>
    </w:tbl>
    <w:p>
      <w:pPr>
        <w:widowControl w:val="0"/>
        <w:spacing w:line="1" w:lineRule="exact"/>
      </w:pPr>
    </w:p>
    <w:tbl>
      <w:tblPr>
        <w:tblOverlap w:val="never"/>
        <w:jc w:val="center"/>
        <w:tblLayout w:type="fixed"/>
      </w:tblPr>
      <w:tblGrid>
        <w:gridCol w:w="485"/>
        <w:gridCol w:w="1358"/>
        <w:gridCol w:w="624"/>
        <w:gridCol w:w="3475"/>
        <w:gridCol w:w="2842"/>
        <w:gridCol w:w="1541"/>
      </w:tblGrid>
      <w:tr>
        <w:trPr>
          <w:trHeight w:val="250" w:hRule="exact"/>
        </w:trPr>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2.22.</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Полноразмерное запасное колесо</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Наличие</w:t>
            </w:r>
          </w:p>
        </w:tc>
        <w:tc>
          <w:tcPr>
            <w:vMerge w:val="restart"/>
            <w:tcBorders>
              <w:top w:val="single" w:sz="4"/>
              <w:left w:val="single" w:sz="4"/>
              <w:right w:val="single" w:sz="4"/>
            </w:tcBorders>
            <w:shd w:val="clear" w:color="auto" w:fill="auto"/>
            <w:vAlign w:val="top"/>
          </w:tcPr>
          <w:p>
            <w:pPr>
              <w:widowControl w:val="0"/>
              <w:rPr>
                <w:sz w:val="10"/>
                <w:szCs w:val="10"/>
              </w:rPr>
            </w:pPr>
          </w:p>
        </w:tc>
      </w:tr>
      <w:tr>
        <w:trPr>
          <w:trHeight w:val="46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2.23.</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Блок экстренного реагирования при авариях Глонасс</w:t>
            </w:r>
          </w:p>
        </w:tc>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24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2.24.</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Вентиляционный люк</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23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2.25.</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Электростеклоподъемники</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24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2.26.</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Дневные ходовые огни</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1162"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2.27.</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Пассажирские сидения С-15 с обивкой из неворсовой ткани с 3*х точечными ремнями безопасности с откидными спинками, подлокотниками по проходу</w:t>
            </w:r>
          </w:p>
        </w:tc>
        <w:tc>
          <w:tcPr>
            <w:tcBorders>
              <w:top w:val="single" w:sz="4"/>
              <w:left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24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2.28.</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Автономный отопитель салона</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24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2.29.</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Осветительные потолочные плафоны</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23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2.30.</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Подсветка ступеней входной двери</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2.31.</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Габаритные огни на крыше</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24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2.32.</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Аудиосистема</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24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2.33.</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Количество динамиков</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4</w:t>
            </w:r>
          </w:p>
        </w:tc>
        <w:tc>
          <w:tcPr>
            <w:vMerge/>
            <w:tcBorders>
              <w:left w:val="single" w:sz="4"/>
              <w:right w:val="single" w:sz="4"/>
            </w:tcBorders>
            <w:shd w:val="clear" w:color="auto" w:fill="auto"/>
            <w:vAlign w:val="top"/>
          </w:tcPr>
          <w:p>
            <w:pP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2.34.</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Ковры в кабину</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23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2.35.</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Тонировка салона</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right w:val="single" w:sz="4"/>
            </w:tcBorders>
            <w:shd w:val="clear" w:color="auto" w:fill="auto"/>
            <w:vAlign w:val="top"/>
          </w:tcPr>
          <w:p>
            <w:pPr/>
          </w:p>
        </w:tc>
      </w:tr>
      <w:tr>
        <w:trPr>
          <w:trHeight w:val="250" w:hRule="exact"/>
        </w:trPr>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2.36.</w:t>
            </w:r>
          </w:p>
        </w:tc>
        <w:tc>
          <w:tcPr>
            <w:tcBorders>
              <w:top w:val="single" w:sz="4"/>
              <w:left w:val="single" w:sz="4"/>
              <w:bottom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Кондиционер</w:t>
            </w:r>
          </w:p>
        </w:tc>
        <w:tc>
          <w:tcPr>
            <w:tcBorders>
              <w:top w:val="single" w:sz="4"/>
              <w:left w:val="single" w:sz="4"/>
              <w:bottom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Наличие</w:t>
            </w:r>
          </w:p>
        </w:tc>
        <w:tc>
          <w:tcPr>
            <w:vMerge/>
            <w:tcBorders>
              <w:left w:val="single" w:sz="4"/>
              <w:bottom w:val="single" w:sz="4"/>
              <w:right w:val="single" w:sz="4"/>
            </w:tcBorders>
            <w:shd w:val="clear" w:color="auto" w:fill="auto"/>
            <w:vAlign w:val="top"/>
          </w:tcPr>
          <w:p>
            <w:pPr/>
          </w:p>
        </w:tc>
      </w:tr>
    </w:tbl>
    <w:p>
      <w:pPr>
        <w:pStyle w:val="Style17"/>
        <w:keepNext/>
        <w:keepLines/>
        <w:widowControl w:val="0"/>
        <w:numPr>
          <w:ilvl w:val="1"/>
          <w:numId w:val="3"/>
        </w:numPr>
        <w:shd w:val="clear" w:color="auto" w:fill="auto"/>
        <w:tabs>
          <w:tab w:pos="1225" w:val="left"/>
        </w:tabs>
        <w:bidi w:val="0"/>
        <w:spacing w:before="0" w:after="0" w:line="240" w:lineRule="auto"/>
        <w:ind w:left="0" w:right="0"/>
        <w:jc w:val="both"/>
      </w:pPr>
      <w:bookmarkStart w:id="2" w:name="bookmark2"/>
      <w:r>
        <w:rPr>
          <w:color w:val="000000"/>
          <w:spacing w:val="0"/>
          <w:w w:val="100"/>
          <w:position w:val="0"/>
          <w:shd w:val="clear" w:color="auto" w:fill="auto"/>
          <w:lang w:val="ru-RU" w:eastAsia="ru-RU" w:bidi="ru-RU"/>
        </w:rPr>
        <w:t>Согласно подпункту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bookmarkEnd w:id="2"/>
    </w:p>
    <w:p>
      <w:pPr>
        <w:pStyle w:val="Style17"/>
        <w:keepNext/>
        <w:keepLines/>
        <w:widowControl w:val="0"/>
        <w:shd w:val="clear" w:color="auto" w:fill="auto"/>
        <w:bidi w:val="0"/>
        <w:spacing w:before="0" w:after="0" w:line="240" w:lineRule="auto"/>
        <w:ind w:left="0" w:right="0"/>
        <w:jc w:val="both"/>
      </w:pPr>
      <w:bookmarkStart w:id="4" w:name="bookmark4"/>
      <w:r>
        <w:rPr>
          <w:color w:val="000000"/>
          <w:spacing w:val="0"/>
          <w:w w:val="100"/>
          <w:position w:val="0"/>
          <w:shd w:val="clear" w:color="auto" w:fill="auto"/>
          <w:lang w:val="ru-RU" w:eastAsia="ru-RU" w:bidi="ru-RU"/>
        </w:rPr>
        <w:t>Частью 12 статьи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bookmarkEnd w:id="4"/>
    </w:p>
    <w:p>
      <w:pPr>
        <w:pStyle w:val="Style2"/>
        <w:keepNext w:val="0"/>
        <w:keepLines w:val="0"/>
        <w:widowControl w:val="0"/>
        <w:numPr>
          <w:ilvl w:val="0"/>
          <w:numId w:val="5"/>
        </w:numPr>
        <w:shd w:val="clear" w:color="auto" w:fill="auto"/>
        <w:tabs>
          <w:tab w:pos="1186"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2"/>
        <w:keepNext w:val="0"/>
        <w:keepLines w:val="0"/>
        <w:widowControl w:val="0"/>
        <w:numPr>
          <w:ilvl w:val="0"/>
          <w:numId w:val="5"/>
        </w:numPr>
        <w:shd w:val="clear" w:color="auto" w:fill="auto"/>
        <w:tabs>
          <w:tab w:pos="1186"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2"/>
        <w:keepNext w:val="0"/>
        <w:keepLines w:val="0"/>
        <w:widowControl w:val="0"/>
        <w:numPr>
          <w:ilvl w:val="0"/>
          <w:numId w:val="5"/>
        </w:numPr>
        <w:shd w:val="clear" w:color="auto" w:fill="auto"/>
        <w:tabs>
          <w:tab w:pos="1186"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2"/>
        <w:keepNext w:val="0"/>
        <w:keepLines w:val="0"/>
        <w:widowControl w:val="0"/>
        <w:numPr>
          <w:ilvl w:val="0"/>
          <w:numId w:val="5"/>
        </w:numPr>
        <w:shd w:val="clear" w:color="auto" w:fill="auto"/>
        <w:tabs>
          <w:tab w:pos="1186"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2"/>
        <w:keepNext w:val="0"/>
        <w:keepLines w:val="0"/>
        <w:widowControl w:val="0"/>
        <w:numPr>
          <w:ilvl w:val="0"/>
          <w:numId w:val="5"/>
        </w:numPr>
        <w:shd w:val="clear" w:color="auto" w:fill="auto"/>
        <w:tabs>
          <w:tab w:pos="1186" w:val="left"/>
        </w:tabs>
        <w:bidi w:val="0"/>
        <w:spacing w:before="0" w:after="0" w:line="240" w:lineRule="auto"/>
        <w:ind w:left="0" w:right="0" w:firstLine="78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2"/>
        <w:keepNext w:val="0"/>
        <w:keepLines w:val="0"/>
        <w:widowControl w:val="0"/>
        <w:numPr>
          <w:ilvl w:val="0"/>
          <w:numId w:val="5"/>
        </w:numPr>
        <w:shd w:val="clear" w:color="auto" w:fill="auto"/>
        <w:tabs>
          <w:tab w:pos="1186" w:val="left"/>
        </w:tabs>
        <w:bidi w:val="0"/>
        <w:spacing w:before="0" w:after="0" w:line="240" w:lineRule="auto"/>
        <w:ind w:left="0" w:right="0" w:firstLine="78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2"/>
        <w:keepNext w:val="0"/>
        <w:keepLines w:val="0"/>
        <w:widowControl w:val="0"/>
        <w:numPr>
          <w:ilvl w:val="0"/>
          <w:numId w:val="5"/>
        </w:numPr>
        <w:shd w:val="clear" w:color="auto" w:fill="auto"/>
        <w:tabs>
          <w:tab w:pos="1951" w:val="left"/>
        </w:tabs>
        <w:bidi w:val="0"/>
        <w:spacing w:before="0" w:after="0" w:line="240" w:lineRule="auto"/>
        <w:ind w:left="0" w:right="0" w:firstLine="780"/>
        <w:jc w:val="both"/>
      </w:pPr>
      <w:r>
        <w:rPr>
          <w:color w:val="000000"/>
          <w:spacing w:val="0"/>
          <w:w w:val="100"/>
          <w:position w:val="0"/>
          <w:shd w:val="clear" w:color="auto" w:fill="auto"/>
          <w:lang w:val="ru-RU" w:eastAsia="ru-RU" w:bidi="ru-RU"/>
        </w:rPr>
        <w:t>предусмотренных частью 6 статьи 45 настоящего Федерального закона;</w:t>
      </w:r>
    </w:p>
    <w:p>
      <w:pPr>
        <w:pStyle w:val="Style2"/>
        <w:keepNext w:val="0"/>
        <w:keepLines w:val="0"/>
        <w:widowControl w:val="0"/>
        <w:numPr>
          <w:ilvl w:val="0"/>
          <w:numId w:val="5"/>
        </w:numPr>
        <w:shd w:val="clear" w:color="auto" w:fill="auto"/>
        <w:tabs>
          <w:tab w:pos="1186" w:val="left"/>
        </w:tabs>
        <w:bidi w:val="0"/>
        <w:spacing w:before="0" w:after="0" w:line="240" w:lineRule="auto"/>
        <w:ind w:left="0" w:right="0" w:firstLine="78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2"/>
        <w:keepNext w:val="0"/>
        <w:keepLines w:val="0"/>
        <w:widowControl w:val="0"/>
        <w:numPr>
          <w:ilvl w:val="0"/>
          <w:numId w:val="5"/>
        </w:numPr>
        <w:shd w:val="clear" w:color="auto" w:fill="auto"/>
        <w:tabs>
          <w:tab w:pos="1186" w:val="left"/>
        </w:tabs>
        <w:bidi w:val="0"/>
        <w:spacing w:before="0" w:after="0" w:line="240" w:lineRule="auto"/>
        <w:ind w:left="0" w:right="0" w:firstLine="78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пунктом 3 или пунктом 4 части 1 статьи 43 настоящего Федерального закона.</w:t>
      </w:r>
    </w:p>
    <w:p>
      <w:pPr>
        <w:pStyle w:val="Style2"/>
        <w:keepNext w:val="0"/>
        <w:keepLines w:val="0"/>
        <w:widowControl w:val="0"/>
        <w:shd w:val="clear" w:color="auto" w:fill="auto"/>
        <w:tabs>
          <w:tab w:leader="underscore" w:pos="6010" w:val="left"/>
          <w:tab w:leader="underscore" w:pos="10157" w:val="left"/>
        </w:tabs>
        <w:bidi w:val="0"/>
        <w:spacing w:before="0" w:after="0" w:line="240" w:lineRule="auto"/>
        <w:ind w:left="0" w:right="0" w:firstLine="780"/>
        <w:jc w:val="both"/>
      </w:pPr>
      <w:r>
        <w:rPr>
          <w:color w:val="000000"/>
          <w:spacing w:val="0"/>
          <w:w w:val="100"/>
          <w:position w:val="0"/>
          <w:shd w:val="clear" w:color="auto" w:fill="auto"/>
          <w:lang w:val="ru-RU" w:eastAsia="ru-RU" w:bidi="ru-RU"/>
        </w:rPr>
        <w:t xml:space="preserve">ООО «ЗСТ» в заявке на участие в закупке относительно оспариваемых позиций 2.1. Мощность двигателя Технического задания предложены следующие характеристики </w:t>
      </w:r>
      <w:r>
        <w:rPr>
          <w:color w:val="000000"/>
          <w:spacing w:val="0"/>
          <w:w w:val="100"/>
          <w:position w:val="0"/>
          <w:u w:val="single"/>
          <w:shd w:val="clear" w:color="auto" w:fill="auto"/>
          <w:lang w:val="ru-RU" w:eastAsia="ru-RU" w:bidi="ru-RU"/>
        </w:rPr>
        <w:t>товара:</w:t>
      </w:r>
      <w:r>
        <w:rPr>
          <w:color w:val="000000"/>
          <w:spacing w:val="0"/>
          <w:w w:val="100"/>
          <w:position w:val="0"/>
          <w:shd w:val="clear" w:color="auto" w:fill="auto"/>
          <w:lang w:val="ru-RU" w:eastAsia="ru-RU" w:bidi="ru-RU"/>
        </w:rPr>
        <w:tab/>
        <w:tab/>
      </w:r>
    </w:p>
    <w:tbl>
      <w:tblPr>
        <w:tblOverlap w:val="never"/>
        <w:jc w:val="center"/>
        <w:tblLayout w:type="fixed"/>
      </w:tblPr>
      <w:tblGrid>
        <w:gridCol w:w="653"/>
        <w:gridCol w:w="5342"/>
        <w:gridCol w:w="4152"/>
      </w:tblGrid>
      <w:tr>
        <w:trPr>
          <w:trHeight w:val="326" w:hRule="exact"/>
        </w:trPr>
        <w:tc>
          <w:tcPr>
            <w:tcBorders>
              <w:top w:val="single" w:sz="4"/>
              <w:left w:val="single" w:sz="4"/>
              <w:bottom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2.1.</w:t>
            </w:r>
          </w:p>
        </w:tc>
        <w:tc>
          <w:tcPr>
            <w:tcBorders>
              <w:top w:val="single" w:sz="4"/>
              <w:left w:val="single" w:sz="4"/>
              <w:bottom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Мощность двигателя, л.с.</w:t>
            </w:r>
          </w:p>
        </w:tc>
        <w:tc>
          <w:tcPr>
            <w:tcBorders>
              <w:top w:val="single" w:sz="4"/>
              <w:left w:val="single" w:sz="4"/>
              <w:bottom w:val="single" w:sz="4"/>
              <w:righ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49,6</w:t>
            </w:r>
          </w:p>
        </w:tc>
      </w:tr>
    </w:tbl>
    <w:p>
      <w:pPr>
        <w:pStyle w:val="Style2"/>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Проанализировав заявку ООО «ЗСТ», направленную в Коми УФАС России оператором электронной площадки, Комиссией Коми УФАС России установлено, что в позиции 2.1 технического задания в заявке на участие в закупке, ООО «ЗСТ» указана характеристика товара, не соответствующая требуемой заказчиком характеристике.</w:t>
      </w:r>
    </w:p>
    <w:p>
      <w:pPr>
        <w:pStyle w:val="Style2"/>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Заявителем в ходе заседания Комиссии Коми УФАС России было пояснено, что при формировании заявки на участие в закупке, ООО «ЗСТ» была допущена опечатка по характеристике товара «Мощность двигателя», тем самым, что повлияло на указание в заявке ООО «ЗСТ» характеристики «Мощность двигателя» не соответствующей описанию объекта закупки.</w:t>
      </w:r>
    </w:p>
    <w:p>
      <w:pPr>
        <w:pStyle w:val="Style17"/>
        <w:keepNext/>
        <w:keepLines/>
        <w:widowControl w:val="0"/>
        <w:shd w:val="clear" w:color="auto" w:fill="auto"/>
        <w:bidi w:val="0"/>
        <w:spacing w:before="0" w:after="0" w:line="240" w:lineRule="auto"/>
        <w:ind w:left="0" w:right="0" w:firstLine="780"/>
        <w:jc w:val="both"/>
      </w:pPr>
      <w:bookmarkStart w:id="6" w:name="bookmark6"/>
      <w:r>
        <w:rPr>
          <w:color w:val="000000"/>
          <w:spacing w:val="0"/>
          <w:w w:val="100"/>
          <w:position w:val="0"/>
          <w:shd w:val="clear" w:color="auto" w:fill="auto"/>
          <w:lang w:val="ru-RU" w:eastAsia="ru-RU" w:bidi="ru-RU"/>
        </w:rPr>
        <w:t>Следовательно, Коми УФАС России приходит к выводу, что предложенный ООО «ЗСТ» товар не подходит под характеристики товара, указанного заказчиком в описании объекта закупки, тем самым, отклонение данной заявки на участие в закупке по несоответствию позиции 2.1. Мощность двигателя Технического задания правомерно.</w:t>
      </w:r>
      <w:bookmarkEnd w:id="6"/>
    </w:p>
    <w:p>
      <w:pPr>
        <w:pStyle w:val="Style2"/>
        <w:keepNext w:val="0"/>
        <w:keepLines w:val="0"/>
        <w:widowControl w:val="0"/>
        <w:numPr>
          <w:ilvl w:val="1"/>
          <w:numId w:val="3"/>
        </w:numPr>
        <w:shd w:val="clear" w:color="auto" w:fill="auto"/>
        <w:tabs>
          <w:tab w:pos="1225" w:val="left"/>
        </w:tabs>
        <w:bidi w:val="0"/>
        <w:spacing w:before="0" w:after="0" w:line="240" w:lineRule="auto"/>
        <w:ind w:left="0" w:right="0" w:firstLine="780"/>
        <w:jc w:val="both"/>
      </w:pPr>
      <w:r>
        <w:rPr>
          <w:color w:val="000000"/>
          <w:spacing w:val="0"/>
          <w:w w:val="100"/>
          <w:position w:val="0"/>
          <w:shd w:val="clear" w:color="auto" w:fill="auto"/>
          <w:lang w:val="ru-RU" w:eastAsia="ru-RU" w:bidi="ru-RU"/>
        </w:rPr>
        <w:t>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в том числе,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2"/>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 xml:space="preserve">Согласно частям 1, 3, 4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w:t>
      </w:r>
      <w:r>
        <w:rPr>
          <w:color w:val="000000"/>
          <w:spacing w:val="0"/>
          <w:w w:val="100"/>
          <w:position w:val="0"/>
          <w:shd w:val="clear" w:color="auto" w:fill="auto"/>
          <w:lang w:val="ru-RU" w:eastAsia="ru-RU" w:bidi="ru-RU"/>
        </w:rPr>
        <w:t>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Российской Федерации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 (далее - Постановление Правительства РФ от 30.04.2020 № 616) установлен запрет на допуск промышленных товаров, происходящих из иностранных государств, для целей осуществления закупок для государственных и муниципальных нужд.</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Постановления Правительства РФ от 30.04.2020 № 616 установлен запрет на допуск промышленных товаров, происходящих из иностранных государств для целей осуществления закупок для государственных и муниципальных нужд.</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извещению об осуществлении закупки, объектом закупки является автобус код ОКПД2: 29.10.30.000-00000020.</w:t>
      </w:r>
    </w:p>
    <w:p>
      <w:pPr>
        <w:pStyle w:val="Style2"/>
        <w:keepNext w:val="0"/>
        <w:keepLines w:val="0"/>
        <w:widowControl w:val="0"/>
        <w:shd w:val="clear" w:color="auto" w:fill="auto"/>
        <w:tabs>
          <w:tab w:pos="99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Указанный код ОКПД2 включен в Перечень, утвержденный Постановлением Правительства РФ от 30.04.2020 № 616, в связи с чем такой запрет установлен заказчиком в извещении о проведении электронного аукциона для закупки</w:t>
        <w:tab/>
        <w:t>№</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0307200030623000826.</w:t>
      </w:r>
    </w:p>
    <w:p>
      <w:pPr>
        <w:pStyle w:val="Style2"/>
        <w:keepNext w:val="0"/>
        <w:keepLines w:val="0"/>
        <w:widowControl w:val="0"/>
        <w:numPr>
          <w:ilvl w:val="1"/>
          <w:numId w:val="3"/>
        </w:numPr>
        <w:shd w:val="clear" w:color="auto" w:fill="auto"/>
        <w:tabs>
          <w:tab w:pos="124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части 1 статьи 49 Закона о контрактной системе, электронный аукцион </w:t>
      </w:r>
      <w:r>
        <w:rPr>
          <w:color w:val="000000"/>
          <w:spacing w:val="0"/>
          <w:w w:val="100"/>
          <w:position w:val="0"/>
          <w:shd w:val="clear" w:color="auto" w:fill="auto"/>
          <w:lang w:val="ru-RU" w:eastAsia="ru-RU" w:bidi="ru-RU"/>
        </w:rPr>
        <w:t>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пункту 5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в том числе, предложение участника закупки в отношении объекта закупки, содержащее, наряду с прочим, </w:t>
      </w:r>
      <w:r>
        <w:rPr>
          <w:i/>
          <w:iCs/>
          <w:color w:val="000000"/>
          <w:spacing w:val="0"/>
          <w:w w:val="100"/>
          <w:position w:val="0"/>
          <w:shd w:val="clear" w:color="auto" w:fill="auto"/>
          <w:lang w:val="ru-RU" w:eastAsia="ru-RU" w:bidi="ru-RU"/>
        </w:rPr>
        <w:t>информацию и документы, предусмотренные нормативными правовыми актами, принятыми в соответствии с частями 3 и 4 статьи 14 настоящего Федерального закона</w:t>
      </w:r>
      <w:r>
        <w:rPr>
          <w:color w:val="000000"/>
          <w:spacing w:val="0"/>
          <w:w w:val="100"/>
          <w:position w:val="0"/>
          <w:shd w:val="clear" w:color="auto" w:fill="auto"/>
          <w:lang w:val="ru-RU" w:eastAsia="ru-RU" w:bidi="ru-RU"/>
        </w:rPr>
        <w:t xml:space="preserve">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6 Постановления Правительства РФ от 30.04.2020 № 616, в целях реализации настоящего постановления:</w:t>
      </w:r>
    </w:p>
    <w:p>
      <w:pPr>
        <w:pStyle w:val="Style2"/>
        <w:keepNext w:val="0"/>
        <w:keepLines w:val="0"/>
        <w:widowControl w:val="0"/>
        <w:numPr>
          <w:ilvl w:val="0"/>
          <w:numId w:val="7"/>
        </w:numPr>
        <w:shd w:val="clear" w:color="auto" w:fill="auto"/>
        <w:tabs>
          <w:tab w:pos="10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w:t>
      </w:r>
    </w:p>
    <w:p>
      <w:pPr>
        <w:pStyle w:val="Style2"/>
        <w:keepNext w:val="0"/>
        <w:keepLines w:val="0"/>
        <w:widowControl w:val="0"/>
        <w:numPr>
          <w:ilvl w:val="0"/>
          <w:numId w:val="7"/>
        </w:numPr>
        <w:shd w:val="clear" w:color="auto" w:fill="auto"/>
        <w:tabs>
          <w:tab w:pos="10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евразийском реестре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7 Постановления Правительства РФ от 30.04.2020 № 616 основанием для включения продукции в реестр российской промышленной продукции является заключение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указанное заключение содержит информацию о совокупном количестве баллов за выполнение (освоение) на территории Российской Федерации соответствующих операций (условий), выданное Министерством промышленности и торговли Российской Федерации в соответствии с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(далее - постановление Правительства Российской Федерации от 17 июля 2015 г. № 719).</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10 Постановления Правительства РФ от 30.04.2020 № 616 установлено, что для подтверждения соответствия закупки промышленных товаров требованиям, установленным настоящим постановлением, участник закупки указывает (декларирует) в составе заявки на участие в закупке: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отношении товаров, страной происхождения которых является Российская </w:t>
      </w:r>
      <w:r>
        <w:rPr>
          <w:color w:val="000000"/>
          <w:spacing w:val="0"/>
          <w:w w:val="100"/>
          <w:position w:val="0"/>
          <w:shd w:val="clear" w:color="auto" w:fill="auto"/>
          <w:lang w:val="ru-RU" w:eastAsia="ru-RU" w:bidi="ru-RU"/>
        </w:rPr>
        <w:t>Федерация, -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количестве баллов включается в контракт.</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Аналогичные требования к участникам закупки установлены заказчиком в пункте 8 Требований к содержанию, составу заявки на участие в закупке и инструкции по ее заполнению.</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того, что заказчиком установлен запрет в соответствии с Постановлением Правительства РФ от 30.04.2020 № 616, то участникам закупки для подтверждения соответствия закупки промышленных товаров требованиям, установленным настоящим постановлением, участнику закупки надлежало продекларировать в составе заявки номер реестровой записи из реестра российской продукции.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ООО «ЗСТ» в составе заявки продекларирована страна происхождения автобуса: Российская Федерация, а также приложена выписка из реестра российской промышленной продукции с реестровой записью № 4589\56\2022, дата внесения в реестр 03.03.2023; сроком действия до 02.03.2026.</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Однако, как указано представителями уполномоченного органа на заседании Комиссии Коми УФАС России, комиссией по осуществлению закупок был осуществлен поиск указанного в составе заявки ООО «ЗСТ» реестрового номера в реестре российской промышленной продукции.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по осуществлению закупок уполномоченного органа установила, что в реестре российской промышленной продукции, с указанной реестровой записью присутствует транспортное средство СА/е11е \ЕХТ, Модификация А65К52, Двигатель дизельный, в технических характеристиках товара указано «Мощность двигателя: 139,7 л.с.», что является отличным от предложенной ООО «ЗСТ» в составе заявки характеристики товара.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аукционная комиссия правомерно приняла решение о признании заявки ООО «ЗСТ» на участие в закупке несоответствующей требованиям извещения об осуществлении закупки.</w:t>
      </w:r>
    </w:p>
    <w:p>
      <w:pPr>
        <w:pStyle w:val="Style2"/>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ru-RU" w:eastAsia="ru-RU" w:bidi="ru-RU"/>
        </w:rPr>
        <w:t>ООО «ЗСТ» в жалобе указано на возможные нарушения заказчиком - ГБУ РК «Центр сопровождения деятельности учреждений» при формировании извещения об осуществлении закупки и внесению изменений в него.</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1) По мнению ООО «ЗСТ», в связи с внесением изменений в извещение об осуществлении закупки необходимо было продлить дату и время окончания срока подачи </w:t>
      </w:r>
      <w:r>
        <w:rPr>
          <w:color w:val="000000"/>
          <w:spacing w:val="0"/>
          <w:w w:val="100"/>
          <w:position w:val="0"/>
          <w:shd w:val="clear" w:color="auto" w:fill="auto"/>
          <w:lang w:val="ru-RU" w:eastAsia="ru-RU" w:bidi="ru-RU"/>
        </w:rPr>
        <w:t>заявок до 14.04.2023, опираясь на норму части 4 статьи 42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пункту 3 части 4 статьи 42 Закона о контрактной системе заказчик по собственной инициативе или в соответствии с запросом, предусмотренным частью 5 настоящей статьи,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w:t>
      </w:r>
      <w:r>
        <w:rPr>
          <w:i/>
          <w:iCs/>
          <w:color w:val="000000"/>
          <w:spacing w:val="0"/>
          <w:w w:val="100"/>
          <w:position w:val="0"/>
          <w:shd w:val="clear" w:color="auto" w:fill="auto"/>
          <w:lang w:val="ru-RU" w:eastAsia="ru-RU" w:bidi="ru-RU"/>
        </w:rPr>
        <w:t>чем за один рабочий день до даты окончания срока подачи заявок на участие в закупке</w:t>
      </w:r>
      <w:r>
        <w:rPr>
          <w:color w:val="000000"/>
          <w:spacing w:val="0"/>
          <w:w w:val="100"/>
          <w:position w:val="0"/>
          <w:shd w:val="clear" w:color="auto" w:fill="auto"/>
          <w:lang w:val="ru-RU" w:eastAsia="ru-RU" w:bidi="ru-RU"/>
        </w:rPr>
        <w:t xml:space="preserve">. Изменение наименования объекта закупки и увеличение размера обеспечения заявок на участие в закупке не допускаются. </w:t>
      </w:r>
      <w:r>
        <w:rPr>
          <w:i/>
          <w:iCs/>
          <w:color w:val="000000"/>
          <w:spacing w:val="0"/>
          <w:w w:val="100"/>
          <w:position w:val="0"/>
          <w:shd w:val="clear" w:color="auto" w:fill="auto"/>
          <w:lang w:val="ru-RU" w:eastAsia="ru-RU" w:bidi="ru-RU"/>
        </w:rPr>
        <w:t>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 при проведении электронных аукционов, если начальная (максимальная) цена контракта не превышает триста миллионов рублей</w:t>
      </w:r>
      <w:r>
        <w:rPr>
          <w:color w:val="000000"/>
          <w:spacing w:val="0"/>
          <w:w w:val="100"/>
          <w:position w:val="0"/>
          <w:shd w:val="clear" w:color="auto" w:fill="auto"/>
          <w:lang w:val="ru-RU" w:eastAsia="ru-RU" w:bidi="ru-RU"/>
        </w:rPr>
        <w:t xml:space="preserve">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 </w:t>
      </w:r>
      <w:r>
        <w:rPr>
          <w:i/>
          <w:iCs/>
          <w:color w:val="000000"/>
          <w:spacing w:val="0"/>
          <w:w w:val="100"/>
          <w:position w:val="0"/>
          <w:shd w:val="clear" w:color="auto" w:fill="auto"/>
          <w:lang w:val="ru-RU" w:eastAsia="ru-RU" w:bidi="ru-RU"/>
        </w:rPr>
        <w:t>не менее трех дней.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первоначальное извещение об электронном аукционе размещено в ЕИС 05.04.2023, изменение извещения о проведении электронного аукциона размещено в ЕИС 07.04.2023, окончание срока подачи заявок определено датой: 13.04.2023, что соответствует требованиям части 3 статьи 42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По мнению ООО «ЗСТ», в извещении о проведении электронного аукциона установлена противоречивая информация относительно источника финансирования закупки.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в извещении указано, что закупка осуществляется за счет собственных средств организации; в пункте 2.5 проекта контракта установлено, что источником финансирования являются субвенции из федерального бюджета республиканскому бюджету Республики Коми.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письменной информации ГБУ РК «Центр обеспечения деятельности учреждений» от 27.04.2023 № 62 (вх. от 27.04.2023 № 2111-э.) и ГКУ РК «ЦООиПТ» от 27.04.2023 № 09- 02/32 (вх. от 27.04.2023 № 1402) указано, что согласно Руководству пользователей ЕИС «Порядок проведения электронных процедур по способам определения поставщика (подрядчика, исполнителя) «Открытый конкурс в электронной форме» и «Электронный аукцион» и техническому функционалу ЕИС, признак «закупка за счет бюджетных средств» не доступен для редактирования, признак «закупка за счет собственных средств организации» установлен по умолчанию и не доступен для редактирования; доступен только, если организация заказчика государственной корпорацией (т.е. в единичном случае).</w:t>
      </w:r>
    </w:p>
    <w:p>
      <w:pPr>
        <w:pStyle w:val="Style2"/>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4. </w:t>
      </w:r>
      <w:r>
        <w:rPr>
          <w:color w:val="000000"/>
          <w:spacing w:val="0"/>
          <w:w w:val="100"/>
          <w:position w:val="0"/>
          <w:shd w:val="clear" w:color="auto" w:fill="auto"/>
          <w:lang w:val="ru-RU" w:eastAsia="ru-RU" w:bidi="ru-RU"/>
        </w:rPr>
        <w:t>В силу части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w:t>
      </w:r>
    </w:p>
    <w:p>
      <w:pPr>
        <w:pStyle w:val="Style2"/>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884" w:right="508" w:bottom="1220" w:left="1068" w:header="0" w:footer="3" w:gutter="0"/>
          <w:cols w:space="720"/>
          <w:noEndnote/>
          <w:rtlGutter w:val="0"/>
          <w:docGrid w:linePitch="360"/>
        </w:sectPr>
      </w:pPr>
      <w:r>
        <w:rPr>
          <w:color w:val="000000"/>
          <w:spacing w:val="0"/>
          <w:w w:val="100"/>
          <w:position w:val="0"/>
          <w:shd w:val="clear" w:color="auto" w:fill="auto"/>
          <w:lang w:val="ru-RU" w:eastAsia="ru-RU" w:bidi="ru-RU"/>
        </w:rPr>
        <w:t xml:space="preserve">В соответствии с подпунктом 2 пункта 22 статьи 99 Закона о контрактной системе, при выявлении в результате проведения контрольным органом в сфере закупок плановых и внеплановых проверок, </w:t>
      </w:r>
      <w:r>
        <w:rPr>
          <w:i/>
          <w:iCs/>
          <w:color w:val="000000"/>
          <w:spacing w:val="0"/>
          <w:w w:val="100"/>
          <w:position w:val="0"/>
          <w:shd w:val="clear" w:color="auto" w:fill="auto"/>
          <w:lang w:val="ru-RU" w:eastAsia="ru-RU" w:bidi="ru-RU"/>
        </w:rPr>
        <w:t>а также в результате рассмотрения жалобы на действия (бездействие) заказчика,</w:t>
      </w:r>
      <w:r>
        <w:rPr>
          <w:color w:val="000000"/>
          <w:spacing w:val="0"/>
          <w:w w:val="100"/>
          <w:position w:val="0"/>
          <w:shd w:val="clear" w:color="auto" w:fill="auto"/>
          <w:lang w:val="ru-RU" w:eastAsia="ru-RU" w:bidi="ru-RU"/>
        </w:rPr>
        <w:t xml:space="preserve"> уполномоченного органа, уполномоченного учреждения, специализированной организации, оператора электронной площадки, оператора</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2"/>
        <w:keepNext w:val="0"/>
        <w:keepLines w:val="0"/>
        <w:widowControl w:val="0"/>
        <w:shd w:val="clear" w:color="auto" w:fill="auto"/>
        <w:bidi w:val="0"/>
        <w:spacing w:before="0" w:after="0" w:line="257" w:lineRule="auto"/>
        <w:ind w:left="0" w:right="0" w:firstLine="720"/>
        <w:jc w:val="both"/>
        <w:rPr>
          <w:sz w:val="24"/>
          <w:szCs w:val="24"/>
        </w:rPr>
      </w:pPr>
      <w:r>
        <w:rPr>
          <w:color w:val="000000"/>
          <w:spacing w:val="0"/>
          <w:w w:val="100"/>
          <w:position w:val="0"/>
          <w:sz w:val="24"/>
          <w:szCs w:val="24"/>
          <w:shd w:val="clear" w:color="auto" w:fill="auto"/>
          <w:lang w:val="ru-RU" w:eastAsia="ru-RU" w:bidi="ru-RU"/>
        </w:rPr>
        <w:t>По части 23 статьи 99 Закона о контрактной системе, предписание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пунктом 2 части 22 настоящей статьи, должно содержать указание на конкретные действия, которые должно совершить лицо, получившее такое предписание, для устранения указанного нарушения. Контракт не может быть заключен до даты исполнения предписания, представления, предусмотренных настоящей статьей.</w:t>
      </w:r>
    </w:p>
    <w:p>
      <w:pPr>
        <w:pStyle w:val="Style2"/>
        <w:keepNext w:val="0"/>
        <w:keepLines w:val="0"/>
        <w:widowControl w:val="0"/>
        <w:shd w:val="clear" w:color="auto" w:fill="auto"/>
        <w:tabs>
          <w:tab w:pos="791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 727/14, в случаях</w:t>
      </w:r>
    </w:p>
    <w:p>
      <w:pPr>
        <w:pStyle w:val="Style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hd w:val="clear" w:color="auto" w:fill="auto"/>
          <w:lang w:val="ru-RU" w:eastAsia="ru-RU" w:bidi="ru-RU"/>
        </w:rPr>
        <w:t>если при рассмотрении жалобы</w:t>
      </w:r>
      <w:r>
        <w:rPr>
          <w:color w:val="000000"/>
          <w:spacing w:val="0"/>
          <w:w w:val="100"/>
          <w:position w:val="0"/>
          <w:shd w:val="clear" w:color="auto" w:fill="auto"/>
          <w:lang w:val="ru-RU" w:eastAsia="ru-RU" w:bidi="ru-RU"/>
        </w:rPr>
        <w:t xml:space="preserve"> или проведения внеплановой проверки </w:t>
      </w:r>
      <w:r>
        <w:rPr>
          <w:i/>
          <w:iCs/>
          <w:color w:val="000000"/>
          <w:spacing w:val="0"/>
          <w:w w:val="100"/>
          <w:position w:val="0"/>
          <w:shd w:val="clear" w:color="auto" w:fill="auto"/>
          <w:lang w:val="ru-RU" w:eastAsia="ru-RU" w:bidi="ru-RU"/>
        </w:rPr>
        <w:t>выявлены 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r>
        <w:rPr>
          <w:color w:val="000000"/>
          <w:spacing w:val="0"/>
          <w:w w:val="100"/>
          <w:position w:val="0"/>
          <w:shd w:val="clear" w:color="auto" w:fill="auto"/>
          <w:lang w:val="ru-RU" w:eastAsia="ru-RU" w:bidi="ru-RU"/>
        </w:rPr>
        <w:t>, Комиссия выдает предписание об устранении допущенных нарушений.</w:t>
      </w:r>
    </w:p>
    <w:p>
      <w:pPr>
        <w:pStyle w:val="Style2"/>
        <w:keepNext w:val="0"/>
        <w:keepLines w:val="0"/>
        <w:widowControl w:val="0"/>
        <w:shd w:val="clear" w:color="auto" w:fill="auto"/>
        <w:bidi w:val="0"/>
        <w:spacing w:before="0" w:after="0" w:line="257" w:lineRule="auto"/>
        <w:ind w:left="0" w:right="0" w:firstLine="720"/>
        <w:jc w:val="both"/>
        <w:rPr>
          <w:sz w:val="24"/>
          <w:szCs w:val="24"/>
        </w:rPr>
      </w:pPr>
      <w:r>
        <w:rPr>
          <w:color w:val="000000"/>
          <w:spacing w:val="0"/>
          <w:w w:val="100"/>
          <w:position w:val="0"/>
          <w:sz w:val="24"/>
          <w:szCs w:val="24"/>
          <w:shd w:val="clear" w:color="auto" w:fill="auto"/>
          <w:lang w:val="ru-RU" w:eastAsia="ru-RU" w:bidi="ru-RU"/>
        </w:rPr>
        <w:t>По данной жалобе предписание выдаче не подлежит, так как нарушения в действиях аукционной комиссии - ГКУ РК «ЦООиПТ» отсутствуют.</w:t>
      </w:r>
    </w:p>
    <w:p>
      <w:pPr>
        <w:pStyle w:val="Style2"/>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С учетом всех вышеизложенных обстоятельств, руководствуясь частью 8 статьи 106 Закона о контрактной системе, Комиссия Коми УФАС России,</w:t>
      </w:r>
    </w:p>
    <w:p>
      <w:pPr>
        <w:pStyle w:val="Style2"/>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Признать жалобу ООО «ЗСТ» необоснованной.</w:t>
      </w:r>
    </w:p>
    <w:p>
      <w:pPr>
        <w:pStyle w:val="Style2"/>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2. В действиях аукционной комиссии - ГКУ РК «ЦООиПТ» нарушений Закона о контрактной системе и иных нормативных правовых актов Российской Федерации в сфере закупок при отклонении заявки ООО «ЗСТ» на участие в электронном аукционе не выявлено.</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pgSz w:w="11900" w:h="16840"/>
          <w:pgMar w:top="1114" w:right="536" w:bottom="698" w:left="1101" w:header="0" w:footer="3" w:gutter="0"/>
          <w:cols w:space="720"/>
          <w:noEndnote/>
          <w:rtlGutter w:val="0"/>
          <w:docGrid w:linePitch="360"/>
        </w:sectPr>
      </w:pPr>
      <w:r>
        <mc:AlternateContent>
          <mc:Choice Requires="wps">
            <w:drawing>
              <wp:anchor distT="508000" distB="335280" distL="0" distR="0" simplePos="0" relativeHeight="125829382" behindDoc="0" locked="0" layoutInCell="1" allowOverlap="1">
                <wp:simplePos x="0" y="0"/>
                <wp:positionH relativeFrom="page">
                  <wp:posOffset>735965</wp:posOffset>
                </wp:positionH>
                <wp:positionV relativeFrom="paragraph">
                  <wp:posOffset>508000</wp:posOffset>
                </wp:positionV>
                <wp:extent cx="1828800" cy="243840"/>
                <wp:wrapTopAndBottom/>
                <wp:docPr id="11" name="Shape 11"/>
                <a:graphic xmlns:a="http://schemas.openxmlformats.org/drawingml/2006/main">
                  <a:graphicData uri="http://schemas.microsoft.com/office/word/2010/wordprocessingShape">
                    <wps:wsp>
                      <wps:cNvSpPr txBox="1"/>
                      <wps:spPr>
                        <a:xfrm>
                          <a:ext cx="1828800" cy="2438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7.950000000000003pt;margin-top:40.pt;width:144.pt;height:19.199999999999999pt;z-index:-125829371;mso-wrap-distance-left:0;mso-wrap-distance-top:40.pt;mso-wrap-distance-right:0;mso-wrap-distance-bottom:26.400000000000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572135" distB="0" distL="0" distR="1706880" simplePos="0" relativeHeight="125829384" behindDoc="0" locked="0" layoutInCell="1" allowOverlap="1">
            <wp:simplePos x="0" y="0"/>
            <wp:positionH relativeFrom="page">
              <wp:posOffset>3143885</wp:posOffset>
            </wp:positionH>
            <wp:positionV relativeFrom="paragraph">
              <wp:posOffset>572135</wp:posOffset>
            </wp:positionV>
            <wp:extent cx="335280" cy="51816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335280" cy="5181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3579495</wp:posOffset>
                </wp:positionH>
                <wp:positionV relativeFrom="paragraph">
                  <wp:posOffset>956310</wp:posOffset>
                </wp:positionV>
                <wp:extent cx="1225550" cy="100330"/>
                <wp:wrapNone/>
                <wp:docPr id="15" name="Shape 15"/>
                <a:graphic xmlns:a="http://schemas.openxmlformats.org/drawingml/2006/main">
                  <a:graphicData uri="http://schemas.microsoft.com/office/word/2010/wordprocessingShape">
                    <wps:wsp>
                      <wps:cNvSpPr txBox="1"/>
                      <wps:spPr>
                        <a:xfrm>
                          <a:ext cx="1225550" cy="100330"/>
                        </a:xfrm>
                        <a:prstGeom prst="rect"/>
                        <a:noFill/>
                      </wps:spPr>
                      <wps:txbx>
                        <w:txbxContent>
                          <w:p>
                            <w:pPr>
                              <w:pStyle w:val="Style2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81.85000000000002pt;margin-top:75.299999999999997pt;width:96.5pt;height:7.9000000000000004pt;z-index:251657729;mso-wrap-distance-left:0;mso-wrap-distance-right:0;mso-position-horizontal-relative:page" filled="f" stroked="f">
                <v:textbox inset="0,0,0,0">
                  <w:txbxContent>
                    <w:p>
                      <w:pPr>
                        <w:pStyle w:val="Style2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3540125</wp:posOffset>
                </wp:positionH>
                <wp:positionV relativeFrom="paragraph">
                  <wp:posOffset>657225</wp:posOffset>
                </wp:positionV>
                <wp:extent cx="1645920" cy="247015"/>
                <wp:wrapNone/>
                <wp:docPr id="17" name="Shape 17"/>
                <a:graphic xmlns:a="http://schemas.openxmlformats.org/drawingml/2006/main">
                  <a:graphicData uri="http://schemas.microsoft.com/office/word/2010/wordprocessingShape">
                    <wps:wsp>
                      <wps:cNvSpPr txBox="1"/>
                      <wps:spPr>
                        <a:xfrm>
                          <a:ext cx="1645920" cy="247015"/>
                        </a:xfrm>
                        <a:prstGeom prst="rect"/>
                        <a:noFill/>
                      </wps:spPr>
                      <wps:txbx>
                        <w:txbxContent>
                          <w:p>
                            <w:pPr>
                              <w:pStyle w:val="Style29"/>
                              <w:keepNext w:val="0"/>
                              <w:keepLines w:val="0"/>
                              <w:widowControl w:val="0"/>
                              <w:shd w:val="clear" w:color="auto" w:fill="auto"/>
                              <w:bidi w:val="0"/>
                              <w:spacing w:before="0" w:after="0" w:line="22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78.75pt;margin-top:51.75pt;width:129.59999999999999pt;height:19.449999999999999pt;z-index:251657731;mso-wrap-distance-left:0;mso-wrap-distance-right:0;mso-position-horizontal-relative:page" filled="f" stroked="f">
                <v:textbox inset="0,0,0,0">
                  <w:txbxContent>
                    <w:p>
                      <w:pPr>
                        <w:pStyle w:val="Style29"/>
                        <w:keepNext w:val="0"/>
                        <w:keepLines w:val="0"/>
                        <w:widowControl w:val="0"/>
                        <w:shd w:val="clear" w:color="auto" w:fill="auto"/>
                        <w:bidi w:val="0"/>
                        <w:spacing w:before="0" w:after="0" w:line="22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755015" distB="133985" distL="0" distR="0" simplePos="0" relativeHeight="125829385" behindDoc="0" locked="0" layoutInCell="1" allowOverlap="1">
                <wp:simplePos x="0" y="0"/>
                <wp:positionH relativeFrom="page">
                  <wp:posOffset>6015355</wp:posOffset>
                </wp:positionH>
                <wp:positionV relativeFrom="paragraph">
                  <wp:posOffset>755015</wp:posOffset>
                </wp:positionV>
                <wp:extent cx="1173480" cy="198120"/>
                <wp:wrapTopAndBottom/>
                <wp:docPr id="19" name="Shape 19"/>
                <a:graphic xmlns:a="http://schemas.openxmlformats.org/drawingml/2006/main">
                  <a:graphicData uri="http://schemas.microsoft.com/office/word/2010/wordprocessingShape">
                    <wps:wsp>
                      <wps:cNvSpPr txBox="1"/>
                      <wps:spPr>
                        <a:xfrm>
                          <a:ext cx="1173480" cy="198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Н.В. Гуревская</w:t>
                            </w:r>
                          </w:p>
                        </w:txbxContent>
                      </wps:txbx>
                      <wps:bodyPr wrap="none" lIns="0" tIns="0" rIns="0" bIns="0">
                        <a:noAutoFit/>
                      </wps:bodyPr>
                    </wps:wsp>
                  </a:graphicData>
                </a:graphic>
              </wp:anchor>
            </w:drawing>
          </mc:Choice>
          <mc:Fallback>
            <w:pict>
              <v:shape id="_x0000_s1045" type="#_x0000_t202" style="position:absolute;margin-left:473.65000000000003pt;margin-top:59.450000000000003pt;width:92.400000000000006pt;height:15.6pt;z-index:-125829368;mso-wrap-distance-left:0;mso-wrap-distance-top:59.450000000000003pt;mso-wrap-distance-right:0;mso-wrap-distance-bottom:10.5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Н.В. Гуревская</w:t>
                      </w:r>
                    </w:p>
                  </w:txbxContent>
                </v:textbox>
                <w10:wrap type="topAndBottom" anchorx="page"/>
              </v:shape>
            </w:pict>
          </mc:Fallback>
        </mc:AlternateContent>
      </w:r>
    </w:p>
    <w:p>
      <w:pPr>
        <w:pStyle w:val="Style34"/>
        <w:keepNext w:val="0"/>
        <w:keepLines w:val="0"/>
        <w:widowControl w:val="0"/>
        <w:shd w:val="clear" w:color="auto" w:fill="auto"/>
        <w:bidi w:val="0"/>
        <w:spacing w:before="0" w:after="0" w:line="240" w:lineRule="auto"/>
        <w:ind w:left="3860" w:right="0" w:firstLine="0"/>
        <w:jc w:val="both"/>
        <w:rPr>
          <w:sz w:val="10"/>
          <w:szCs w:val="10"/>
        </w:rPr>
      </w:pPr>
      <w:r>
        <w:rPr>
          <w:color w:val="000000"/>
          <w:spacing w:val="0"/>
          <w:w w:val="100"/>
          <w:position w:val="0"/>
          <w:sz w:val="11"/>
          <w:szCs w:val="11"/>
          <w:shd w:val="clear" w:color="auto" w:fill="auto"/>
          <w:lang w:val="ru-RU" w:eastAsia="ru-RU" w:bidi="ru-RU"/>
        </w:rPr>
        <w:t xml:space="preserve">Кому </w:t>
      </w:r>
      <w:r>
        <w:rPr>
          <w:color w:val="696969"/>
          <w:spacing w:val="0"/>
          <w:w w:val="100"/>
          <w:position w:val="0"/>
          <w:sz w:val="11"/>
          <w:szCs w:val="11"/>
          <w:shd w:val="clear" w:color="auto" w:fill="auto"/>
          <w:lang w:val="ru-RU" w:eastAsia="ru-RU" w:bidi="ru-RU"/>
        </w:rPr>
        <w:t xml:space="preserve">выдан: </w:t>
      </w:r>
      <w:r>
        <w:rPr>
          <w:b/>
          <w:bCs/>
          <w:color w:val="000000"/>
          <w:spacing w:val="0"/>
          <w:w w:val="100"/>
          <w:position w:val="0"/>
          <w:sz w:val="10"/>
          <w:szCs w:val="10"/>
          <w:shd w:val="clear" w:color="auto" w:fill="auto"/>
          <w:lang w:val="ru-RU" w:eastAsia="ru-RU" w:bidi="ru-RU"/>
        </w:rPr>
        <w:t>Гуревская Наталия Владимировна</w:t>
      </w:r>
    </w:p>
    <w:p>
      <w:pPr>
        <w:pStyle w:val="Style34"/>
        <w:keepNext w:val="0"/>
        <w:keepLines w:val="0"/>
        <w:widowControl w:val="0"/>
        <w:shd w:val="clear" w:color="auto" w:fill="auto"/>
        <w:bidi w:val="0"/>
        <w:spacing w:before="0" w:after="0" w:line="240" w:lineRule="auto"/>
        <w:ind w:left="3860"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277990720892Е91 </w:t>
      </w:r>
      <w:r>
        <w:rPr>
          <w:color w:val="696969"/>
          <w:spacing w:val="0"/>
          <w:w w:val="100"/>
          <w:position w:val="0"/>
          <w:shd w:val="clear" w:color="auto" w:fill="auto"/>
          <w:lang w:val="ru-RU" w:eastAsia="ru-RU" w:bidi="ru-RU"/>
        </w:rPr>
        <w:t>В03С225599СЕА43Е5</w:t>
      </w:r>
    </w:p>
    <w:p>
      <w:pPr>
        <w:pStyle w:val="Style34"/>
        <w:keepNext w:val="0"/>
        <w:keepLines w:val="0"/>
        <w:widowControl w:val="0"/>
        <w:shd w:val="clear" w:color="auto" w:fill="auto"/>
        <w:bidi w:val="0"/>
        <w:spacing w:before="0" w:after="0" w:line="240" w:lineRule="auto"/>
        <w:ind w:left="3860" w:right="0" w:firstLine="0"/>
        <w:jc w:val="both"/>
        <w:sectPr>
          <w:footnotePr>
            <w:pos w:val="pageBottom"/>
            <w:numFmt w:val="decimal"/>
            <w:numRestart w:val="continuous"/>
          </w:footnotePr>
          <w:type w:val="continuous"/>
          <w:pgSz w:w="11900" w:h="16840"/>
          <w:pgMar w:top="1114" w:right="536" w:bottom="698" w:left="1101" w:header="0" w:footer="3" w:gutter="0"/>
          <w:cols w:space="720"/>
          <w:noEndnote/>
          <w:rtlGutter w:val="0"/>
          <w:docGrid w:linePitch="360"/>
        </w:sectPr>
      </w:pPr>
      <w:r>
        <w:rPr>
          <w:color w:val="696969"/>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17.04.2023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10.07.2024</w:t>
      </w:r>
    </w:p>
    <w:p>
      <w:pPr>
        <w:pStyle w:val="Style2"/>
        <w:keepNext w:val="0"/>
        <w:keepLines w:val="0"/>
        <w:framePr w:w="2112" w:h="350" w:wrap="none" w:hAnchor="page" w:x="1160" w:y="1"/>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p>
      <w:pPr>
        <w:pStyle w:val="Style29"/>
        <w:keepNext w:val="0"/>
        <w:keepLines w:val="0"/>
        <w:framePr w:w="2213" w:h="336" w:wrap="none" w:hAnchor="page" w:x="5442" w:y="357"/>
        <w:widowControl w:val="0"/>
        <w:shd w:val="clear" w:color="auto" w:fill="auto"/>
        <w:bidi w:val="0"/>
        <w:spacing w:before="0" w:after="0" w:line="240" w:lineRule="auto"/>
        <w:ind w:left="0" w:right="0" w:firstLine="0"/>
        <w:jc w:val="left"/>
        <w:rPr>
          <w:sz w:val="9"/>
          <w:szCs w:val="9"/>
        </w:rPr>
      </w:pPr>
      <w:r>
        <w:rPr>
          <w:spacing w:val="0"/>
          <w:w w:val="100"/>
          <w:position w:val="0"/>
          <w:sz w:val="9"/>
          <w:szCs w:val="9"/>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2"/>
        <w:keepNext w:val="0"/>
        <w:keepLines w:val="0"/>
        <w:framePr w:w="1867" w:h="350" w:wrap="none" w:hAnchor="page" w:x="9450" w:y="1"/>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А.А. Мокиенко</w:t>
      </w:r>
    </w:p>
    <w:p>
      <w:pPr>
        <w:widowControl w:val="0"/>
        <w:spacing w:line="360" w:lineRule="exact"/>
      </w:pPr>
      <w:r>
        <w:drawing>
          <wp:anchor distT="0" distB="0" distL="0" distR="1478280" simplePos="0" relativeHeight="62914694" behindDoc="1" locked="0" layoutInCell="1" allowOverlap="1">
            <wp:simplePos x="0" y="0"/>
            <wp:positionH relativeFrom="page">
              <wp:posOffset>3143885</wp:posOffset>
            </wp:positionH>
            <wp:positionV relativeFrom="margin">
              <wp:posOffset>173990</wp:posOffset>
            </wp:positionV>
            <wp:extent cx="237490" cy="286385"/>
            <wp:wrapNone/>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237490" cy="286385"/>
                    </a:xfrm>
                    <a:prstGeom prst="rect"/>
                  </pic:spPr>
                </pic:pic>
              </a:graphicData>
            </a:graphic>
          </wp:anchor>
        </w:drawing>
      </w:r>
    </w:p>
    <w:p>
      <w:pPr>
        <w:widowControl w:val="0"/>
        <w:spacing w:after="359" w:line="1" w:lineRule="exact"/>
      </w:pPr>
    </w:p>
    <w:p>
      <w:pPr>
        <w:widowControl w:val="0"/>
        <w:spacing w:line="1" w:lineRule="exact"/>
        <w:sectPr>
          <w:footnotePr>
            <w:pos w:val="pageBottom"/>
            <w:numFmt w:val="decimal"/>
            <w:numRestart w:val="continuous"/>
          </w:footnotePr>
          <w:pgSz w:w="11900" w:h="16840"/>
          <w:pgMar w:top="1172" w:right="574" w:bottom="966" w:left="1106" w:header="0" w:footer="3" w:gutter="0"/>
          <w:cols w:space="720"/>
          <w:noEndnote/>
          <w:rtlGutter w:val="0"/>
          <w:docGrid w:linePitch="360"/>
        </w:sectPr>
      </w:pPr>
    </w:p>
    <w:p>
      <w:pPr>
        <w:pStyle w:val="Style1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41" w:line="240" w:lineRule="auto"/>
        <w:ind w:left="4400" w:right="0" w:firstLine="0"/>
        <w:jc w:val="left"/>
        <w:rPr>
          <w:sz w:val="10"/>
          <w:szCs w:val="10"/>
        </w:rPr>
      </w:pPr>
      <w:r>
        <w:rPr>
          <w:rFonts w:ascii="Georgia" w:eastAsia="Georgia" w:hAnsi="Georgia" w:cs="Georgia"/>
          <w:color w:val="EBEBEB"/>
          <w:spacing w:val="0"/>
          <w:w w:val="100"/>
          <w:position w:val="0"/>
          <w:sz w:val="10"/>
          <w:szCs w:val="10"/>
          <w:shd w:val="clear" w:color="auto" w:fill="auto"/>
          <w:lang w:val="ru-RU" w:eastAsia="ru-RU" w:bidi="ru-RU"/>
        </w:rPr>
        <w:t>СВЕДЕНИЯ О СЕРТИФИКАТЕ ЭП</w:t>
      </w:r>
    </w:p>
    <w:p>
      <w:pPr>
        <w:pStyle w:val="Style12"/>
        <w:keepNext w:val="0"/>
        <w:keepLines w:val="0"/>
        <w:widowControl w:val="0"/>
        <w:shd w:val="clear" w:color="auto" w:fill="auto"/>
        <w:bidi w:val="0"/>
        <w:spacing w:before="0" w:after="0" w:line="240" w:lineRule="auto"/>
        <w:ind w:left="3820" w:right="62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 xml:space="preserve">Кому </w:t>
      </w:r>
      <w:r>
        <w:rPr>
          <w:rFonts w:ascii="Arial" w:eastAsia="Arial" w:hAnsi="Arial" w:cs="Arial"/>
          <w:color w:val="696969"/>
          <w:spacing w:val="0"/>
          <w:w w:val="100"/>
          <w:position w:val="0"/>
          <w:sz w:val="10"/>
          <w:szCs w:val="1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Мокиенко Анастасия Александровна </w:t>
      </w:r>
      <w:r>
        <w:rPr>
          <w:rFonts w:ascii="Arial" w:eastAsia="Arial" w:hAnsi="Arial" w:cs="Arial"/>
          <w:color w:val="696969"/>
          <w:spacing w:val="0"/>
          <w:w w:val="100"/>
          <w:position w:val="0"/>
          <w:sz w:val="10"/>
          <w:szCs w:val="10"/>
          <w:shd w:val="clear" w:color="auto" w:fill="auto"/>
          <w:lang w:val="ru-RU" w:eastAsia="ru-RU" w:bidi="ru-RU"/>
        </w:rPr>
        <w:t xml:space="preserve">Сертификат </w:t>
      </w:r>
      <w:r>
        <w:rPr>
          <w:rFonts w:ascii="Arial" w:eastAsia="Arial" w:hAnsi="Arial" w:cs="Arial"/>
          <w:color w:val="000000"/>
          <w:spacing w:val="0"/>
          <w:w w:val="100"/>
          <w:position w:val="0"/>
          <w:sz w:val="10"/>
          <w:szCs w:val="10"/>
          <w:shd w:val="clear" w:color="auto" w:fill="auto"/>
          <w:lang w:val="ru-RU" w:eastAsia="ru-RU" w:bidi="ru-RU"/>
        </w:rPr>
        <w:t xml:space="preserve">№ </w:t>
      </w:r>
      <w:r>
        <w:rPr>
          <w:rFonts w:ascii="Arial" w:eastAsia="Arial" w:hAnsi="Arial" w:cs="Arial"/>
          <w:color w:val="424242"/>
          <w:spacing w:val="0"/>
          <w:w w:val="100"/>
          <w:position w:val="0"/>
          <w:sz w:val="10"/>
          <w:szCs w:val="10"/>
          <w:shd w:val="clear" w:color="auto" w:fill="auto"/>
          <w:lang w:val="ru-RU" w:eastAsia="ru-RU" w:bidi="ru-RU"/>
        </w:rPr>
        <w:t>19А22756963Е37ЭА378745В75375ВЕВС</w:t>
      </w:r>
    </w:p>
    <w:p>
      <w:pPr>
        <w:pStyle w:val="Style34"/>
        <w:keepNext w:val="0"/>
        <w:keepLines w:val="0"/>
        <w:widowControl w:val="0"/>
        <w:shd w:val="clear" w:color="auto" w:fill="auto"/>
        <w:bidi w:val="0"/>
        <w:spacing w:before="0" w:after="0" w:line="262" w:lineRule="auto"/>
        <w:ind w:left="3820" w:right="620" w:firstLine="0"/>
        <w:jc w:val="left"/>
        <w:rPr>
          <w:sz w:val="10"/>
          <w:szCs w:val="10"/>
        </w:rPr>
      </w:pPr>
      <w:r>
        <w:rPr>
          <w:color w:val="696969"/>
          <w:spacing w:val="0"/>
          <w:w w:val="100"/>
          <w:position w:val="0"/>
          <w:sz w:val="10"/>
          <w:szCs w:val="10"/>
          <w:shd w:val="clear" w:color="auto" w:fill="auto"/>
          <w:lang w:val="ru-RU" w:eastAsia="ru-RU" w:bidi="ru-RU"/>
        </w:rPr>
        <w:t xml:space="preserve">Действителен с 14.10.2022 </w:t>
      </w:r>
      <w:r>
        <w:rPr>
          <w:color w:val="909090"/>
          <w:spacing w:val="0"/>
          <w:w w:val="100"/>
          <w:position w:val="0"/>
          <w:sz w:val="10"/>
          <w:szCs w:val="10"/>
          <w:shd w:val="clear" w:color="auto" w:fill="auto"/>
          <w:lang w:val="ru-RU" w:eastAsia="ru-RU" w:bidi="ru-RU"/>
        </w:rPr>
        <w:t xml:space="preserve">по </w:t>
      </w:r>
      <w:r>
        <w:rPr>
          <w:color w:val="696969"/>
          <w:spacing w:val="0"/>
          <w:w w:val="100"/>
          <w:position w:val="0"/>
          <w:sz w:val="10"/>
          <w:szCs w:val="10"/>
          <w:shd w:val="clear" w:color="auto" w:fill="auto"/>
          <w:lang w:val="ru-RU" w:eastAsia="ru-RU" w:bidi="ru-RU"/>
        </w:rPr>
        <w:t>07.01.2024</w:t>
      </w:r>
    </w:p>
    <w:p>
      <w:pPr>
        <w:widowControl w:val="0"/>
        <w:spacing w:line="1" w:lineRule="exact"/>
        <w:sectPr>
          <w:footnotePr>
            <w:pos w:val="pageBottom"/>
            <w:numFmt w:val="decimal"/>
            <w:numRestart w:val="continuous"/>
          </w:footnotePr>
          <w:type w:val="continuous"/>
          <w:pgSz w:w="11900" w:h="16840"/>
          <w:pgMar w:top="1172" w:right="3661" w:bottom="10260" w:left="1106" w:header="0" w:footer="3" w:gutter="0"/>
          <w:cols w:space="720"/>
          <w:noEndnote/>
          <w:rtlGutter w:val="0"/>
          <w:docGrid w:linePitch="360"/>
        </w:sectPr>
      </w:pPr>
      <w:r>
        <w:drawing>
          <wp:anchor distT="444500" distB="0" distL="0" distR="1786255" simplePos="0" relativeHeight="125829387" behindDoc="0" locked="0" layoutInCell="1" allowOverlap="1">
            <wp:simplePos x="0" y="0"/>
            <wp:positionH relativeFrom="page">
              <wp:posOffset>3089275</wp:posOffset>
            </wp:positionH>
            <wp:positionV relativeFrom="paragraph">
              <wp:posOffset>444500</wp:posOffset>
            </wp:positionV>
            <wp:extent cx="353695" cy="53657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3546475</wp:posOffset>
                </wp:positionH>
                <wp:positionV relativeFrom="paragraph">
                  <wp:posOffset>843915</wp:posOffset>
                </wp:positionV>
                <wp:extent cx="1286510" cy="103505"/>
                <wp:wrapNone/>
                <wp:docPr id="25" name="Shape 25"/>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2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BEBEB"/>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79.25pt;margin-top:66.450000000000003pt;width:101.3pt;height:8.1500000000000004pt;z-index:251657733;mso-wrap-distance-left:0;mso-wrap-distance-right:0;mso-position-horizontal-relative:page" filled="f" stroked="f">
                <v:textbox inset="0,0,0,0">
                  <w:txbxContent>
                    <w:p>
                      <w:pPr>
                        <w:pStyle w:val="Style2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BEBEB"/>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3503930</wp:posOffset>
                </wp:positionH>
                <wp:positionV relativeFrom="paragraph">
                  <wp:posOffset>532765</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5.90000000000003pt;margin-top:41.950000000000003pt;width:135.59999999999999pt;height:20.150000000000002pt;z-index:251657735;mso-wrap-distance-left:0;mso-wrap-distance-right:0;mso-position-horizontal-relative:page" filled="f" stroked="f">
                <v:textbox inset="0,0,0,0">
                  <w:txbxContent>
                    <w:p>
                      <w:pPr>
                        <w:pStyle w:val="Style2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p>
    <w:p>
      <w:pPr>
        <w:pStyle w:val="Style34"/>
        <w:keepNext w:val="0"/>
        <w:keepLines w:val="0"/>
        <w:widowControl w:val="0"/>
        <w:shd w:val="clear" w:color="auto" w:fill="auto"/>
        <w:bidi w:val="0"/>
        <w:spacing w:before="0" w:after="0" w:line="240" w:lineRule="auto"/>
        <w:ind w:left="3780" w:right="0" w:firstLine="0"/>
        <w:jc w:val="left"/>
        <w:rPr>
          <w:sz w:val="10"/>
          <w:szCs w:val="10"/>
        </w:rPr>
      </w:pPr>
      <w:r>
        <w:rPr>
          <w:spacing w:val="0"/>
          <w:w w:val="100"/>
          <w:position w:val="0"/>
          <w:sz w:val="11"/>
          <w:szCs w:val="11"/>
          <w:shd w:val="clear" w:color="auto" w:fill="auto"/>
          <w:lang w:val="ru-RU" w:eastAsia="ru-RU" w:bidi="ru-RU"/>
        </w:rPr>
        <w:t xml:space="preserve">Кому </w:t>
      </w:r>
      <w:r>
        <w:rPr>
          <w:color w:val="696969"/>
          <w:spacing w:val="0"/>
          <w:w w:val="100"/>
          <w:position w:val="0"/>
          <w:sz w:val="11"/>
          <w:szCs w:val="11"/>
          <w:shd w:val="clear" w:color="auto" w:fill="auto"/>
          <w:lang w:val="ru-RU" w:eastAsia="ru-RU" w:bidi="ru-RU"/>
        </w:rPr>
        <w:t xml:space="preserve">выдан: </w:t>
      </w:r>
      <w:r>
        <w:rPr>
          <w:b/>
          <w:bCs/>
          <w:color w:val="000000"/>
          <w:spacing w:val="0"/>
          <w:w w:val="100"/>
          <w:position w:val="0"/>
          <w:sz w:val="10"/>
          <w:szCs w:val="10"/>
          <w:shd w:val="clear" w:color="auto" w:fill="auto"/>
          <w:lang w:val="ru-RU" w:eastAsia="ru-RU" w:bidi="ru-RU"/>
        </w:rPr>
        <w:t>Растегаева Анна Дмитриевна</w:t>
      </w:r>
    </w:p>
    <w:p>
      <w:pPr>
        <w:pStyle w:val="Style34"/>
        <w:keepNext w:val="0"/>
        <w:keepLines w:val="0"/>
        <w:widowControl w:val="0"/>
        <w:shd w:val="clear" w:color="auto" w:fill="auto"/>
        <w:bidi w:val="0"/>
        <w:spacing w:before="0" w:after="0" w:line="240" w:lineRule="auto"/>
        <w:ind w:left="378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96969"/>
          <w:spacing w:val="0"/>
          <w:w w:val="100"/>
          <w:position w:val="0"/>
          <w:shd w:val="clear" w:color="auto" w:fill="auto"/>
          <w:lang w:val="ru-RU" w:eastAsia="ru-RU" w:bidi="ru-RU"/>
        </w:rPr>
        <w:t>41</w:t>
      </w:r>
      <w:r>
        <w:rPr>
          <w:spacing w:val="0"/>
          <w:w w:val="100"/>
          <w:position w:val="0"/>
          <w:shd w:val="clear" w:color="auto" w:fill="auto"/>
          <w:lang w:val="ru-RU" w:eastAsia="ru-RU" w:bidi="ru-RU"/>
        </w:rPr>
        <w:t xml:space="preserve">17О9АЕ6ЕЕЭСЕ743О61АЕЕ759932Е1 </w:t>
      </w:r>
      <w:r>
        <w:rPr>
          <w:color w:val="000000"/>
          <w:spacing w:val="0"/>
          <w:w w:val="100"/>
          <w:position w:val="0"/>
          <w:shd w:val="clear" w:color="auto" w:fill="auto"/>
          <w:lang w:val="ru-RU" w:eastAsia="ru-RU" w:bidi="ru-RU"/>
        </w:rPr>
        <w:t>Е</w:t>
      </w:r>
    </w:p>
    <w:p>
      <w:pPr>
        <w:pStyle w:val="Style34"/>
        <w:keepNext w:val="0"/>
        <w:keepLines w:val="0"/>
        <w:widowControl w:val="0"/>
        <w:shd w:val="clear" w:color="auto" w:fill="auto"/>
        <w:bidi w:val="0"/>
        <w:spacing w:before="0" w:after="1160" w:line="240" w:lineRule="auto"/>
        <w:ind w:left="3780" w:right="0" w:firstLine="0"/>
        <w:jc w:val="left"/>
      </w:pPr>
      <w:r>
        <mc:AlternateContent>
          <mc:Choice Requires="wps">
            <w:drawing>
              <wp:anchor distT="0" distB="0" distL="114300" distR="114300" simplePos="0" relativeHeight="125829388" behindDoc="0" locked="0" layoutInCell="1" allowOverlap="1">
                <wp:simplePos x="0" y="0"/>
                <wp:positionH relativeFrom="page">
                  <wp:posOffset>5966460</wp:posOffset>
                </wp:positionH>
                <wp:positionV relativeFrom="paragraph">
                  <wp:posOffset>101600</wp:posOffset>
                </wp:positionV>
                <wp:extent cx="1225550" cy="247015"/>
                <wp:wrapSquare wrapText="bothSides"/>
                <wp:docPr id="29" name="Shape 29"/>
                <a:graphic xmlns:a="http://schemas.openxmlformats.org/drawingml/2006/main">
                  <a:graphicData uri="http://schemas.microsoft.com/office/word/2010/wordprocessingShape">
                    <wps:wsp>
                      <wps:cNvSpPr txBox="1"/>
                      <wps:spPr>
                        <a:xfrm>
                          <a:ext cx="1225550"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А.Д. Растегаева</w:t>
                            </w:r>
                          </w:p>
                        </w:txbxContent>
                      </wps:txbx>
                      <wps:bodyPr wrap="none" lIns="0" tIns="0" rIns="0" bIns="0">
                        <a:noAutoFit/>
                      </wps:bodyPr>
                    </wps:wsp>
                  </a:graphicData>
                </a:graphic>
              </wp:anchor>
            </w:drawing>
          </mc:Choice>
          <mc:Fallback>
            <w:pict>
              <v:shape id="_x0000_s1055" type="#_x0000_t202" style="position:absolute;margin-left:469.80000000000001pt;margin-top:8.pt;width:96.5pt;height:19.449999999999999pt;z-index:-12582936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А.Д. Растегаева</w:t>
                      </w:r>
                    </w:p>
                  </w:txbxContent>
                </v:textbox>
                <w10:wrap type="square" anchorx="page"/>
              </v:shape>
            </w:pict>
          </mc:Fallback>
        </mc:AlternateContent>
      </w:r>
      <w:r>
        <w:rPr>
          <w:color w:val="696969"/>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909090"/>
          <w:spacing w:val="0"/>
          <w:w w:val="100"/>
          <w:position w:val="0"/>
          <w:shd w:val="clear" w:color="auto" w:fill="auto"/>
          <w:lang w:val="ru-RU" w:eastAsia="ru-RU" w:bidi="ru-RU"/>
        </w:rPr>
        <w:t>09.11</w:t>
      </w:r>
      <w:r>
        <w:rPr>
          <w:spacing w:val="0"/>
          <w:w w:val="100"/>
          <w:position w:val="0"/>
          <w:shd w:val="clear" w:color="auto" w:fill="auto"/>
          <w:lang w:val="ru-RU" w:eastAsia="ru-RU" w:bidi="ru-RU"/>
        </w:rPr>
        <w:t xml:space="preserve">.2022 </w:t>
      </w:r>
      <w:r>
        <w:rPr>
          <w:color w:val="909090"/>
          <w:spacing w:val="0"/>
          <w:w w:val="100"/>
          <w:position w:val="0"/>
          <w:shd w:val="clear" w:color="auto" w:fill="auto"/>
          <w:lang w:val="ru-RU" w:eastAsia="ru-RU" w:bidi="ru-RU"/>
        </w:rPr>
        <w:t xml:space="preserve">по </w:t>
      </w:r>
      <w:r>
        <w:rPr>
          <w:color w:val="000000"/>
          <w:spacing w:val="0"/>
          <w:w w:val="100"/>
          <w:position w:val="0"/>
          <w:shd w:val="clear" w:color="auto" w:fill="auto"/>
          <w:lang w:val="ru-RU" w:eastAsia="ru-RU" w:bidi="ru-RU"/>
        </w:rPr>
        <w:t>02.02.2024</w:t>
      </w:r>
    </w:p>
    <w:p>
      <w:pPr>
        <w:pStyle w:val="Style10"/>
        <w:keepNext w:val="0"/>
        <w:keepLines w:val="0"/>
        <w:widowControl w:val="0"/>
        <w:shd w:val="clear" w:color="auto" w:fill="auto"/>
        <w:bidi w:val="0"/>
        <w:spacing w:before="0" w:after="600" w:line="240" w:lineRule="auto"/>
        <w:ind w:left="0" w:right="0" w:firstLine="0"/>
        <w:jc w:val="left"/>
        <w:rPr>
          <w:sz w:val="22"/>
          <w:szCs w:val="22"/>
        </w:rPr>
      </w:pPr>
      <w:r>
        <w:rPr>
          <w:b w:val="0"/>
          <w:bCs w:val="0"/>
          <w:color w:val="000000"/>
          <w:spacing w:val="0"/>
          <w:w w:val="100"/>
          <w:position w:val="0"/>
          <w:sz w:val="22"/>
          <w:szCs w:val="22"/>
          <w:shd w:val="clear" w:color="auto" w:fill="auto"/>
          <w:lang w:val="ru-RU" w:eastAsia="ru-RU" w:bidi="ru-RU"/>
        </w:rPr>
        <w:t>Исп. Мокиенко Анастасия Александровна тел. 8 (8212) 21-41-29 (доб. 011-115)</w:t>
      </w:r>
    </w:p>
    <w:sectPr>
      <w:footnotePr>
        <w:pos w:val="pageBottom"/>
        <w:numFmt w:val="decimal"/>
        <w:numRestart w:val="continuous"/>
      </w:footnotePr>
      <w:type w:val="continuous"/>
      <w:pgSz w:w="11900" w:h="16840"/>
      <w:pgMar w:top="1172" w:right="3661" w:bottom="117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10136505</wp:posOffset>
              </wp:positionV>
              <wp:extent cx="560705" cy="100330"/>
              <wp:wrapNone/>
              <wp:docPr id="5" name="Shape 5"/>
              <a:graphic xmlns:a="http://schemas.openxmlformats.org/drawingml/2006/main">
                <a:graphicData uri="http://schemas.microsoft.com/office/word/2010/wordprocessingShape">
                  <wps:wsp>
                    <wps:cNvSpPr txBox="1"/>
                    <wps:spPr>
                      <a:xfrm>
                        <a:ext cx="560705"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2023-171</w:t>
                          </w:r>
                        </w:p>
                      </w:txbxContent>
                    </wps:txbx>
                    <wps:bodyPr wrap="none" lIns="0" tIns="0" rIns="0" bIns="0">
                      <a:spAutoFit/>
                    </wps:bodyPr>
                  </wps:wsp>
                </a:graphicData>
              </a:graphic>
            </wp:anchor>
          </w:drawing>
        </mc:Choice>
        <mc:Fallback>
          <w:pict>
            <v:shape id="_x0000_s1031" type="#_x0000_t202" style="position:absolute;margin-left:57.pt;margin-top:798.14999999999998pt;width:44.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2023-171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60705" cy="100330"/>
              <wp:wrapNone/>
              <wp:docPr id="7" name="Shape 7"/>
              <a:graphic xmlns:a="http://schemas.openxmlformats.org/drawingml/2006/main">
                <a:graphicData uri="http://schemas.microsoft.com/office/word/2010/wordprocessingShape">
                  <wps:wsp>
                    <wps:cNvSpPr txBox="1"/>
                    <wps:spPr>
                      <a:xfrm>
                        <a:ext cx="560705"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2023-171</w:t>
                          </w:r>
                        </w:p>
                      </w:txbxContent>
                    </wps:txbx>
                    <wps:bodyPr wrap="none" lIns="0" tIns="0" rIns="0" bIns="0">
                      <a:spAutoFit/>
                    </wps:bodyPr>
                  </wps:wsp>
                </a:graphicData>
              </a:graphic>
            </wp:anchor>
          </w:drawing>
        </mc:Choice>
        <mc:Fallback>
          <w:pict>
            <v:shape id="_x0000_s1033" type="#_x0000_t202" style="position:absolute;margin-left:57.pt;margin-top:776.20000000000005pt;width:44.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2023-171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2"/>
      <w:numFmt w:val="decimal"/>
      <w:lvlText w:val="%1."/>
    </w:lvl>
    <w:lvl w:ilvl="1">
      <w:start w:val="1"/>
      <w:numFmt w:val="decimal"/>
      <w:lvlText w:val="%1.%2."/>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5">
    <w:name w:val="Основной текст (3)_"/>
    <w:basedOn w:val="DefaultParagraphFont"/>
    <w:link w:val="Style4"/>
    <w:rPr>
      <w:rFonts w:ascii="Times New Roman" w:eastAsia="Times New Roman" w:hAnsi="Times New Roman" w:cs="Times New Roman"/>
      <w:b w:val="0"/>
      <w:bCs w:val="0"/>
      <w:i w:val="0"/>
      <w:iCs w:val="0"/>
      <w:smallCaps w:val="0"/>
      <w:strike w:val="0"/>
      <w:color w:val="4360A4"/>
      <w:sz w:val="16"/>
      <w:szCs w:val="16"/>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1">
    <w:name w:val="Основной текст (4)_"/>
    <w:basedOn w:val="DefaultParagraphFont"/>
    <w:link w:val="Style10"/>
    <w:rPr>
      <w:rFonts w:ascii="Times New Roman" w:eastAsia="Times New Roman" w:hAnsi="Times New Roman" w:cs="Times New Roman"/>
      <w:b/>
      <w:bCs/>
      <w:i w:val="0"/>
      <w:iCs w:val="0"/>
      <w:smallCaps w:val="0"/>
      <w:strike w:val="0"/>
      <w:color w:val="4360A4"/>
      <w:sz w:val="20"/>
      <w:szCs w:val="20"/>
      <w:u w:val="none"/>
    </w:rPr>
  </w:style>
  <w:style w:type="character" w:customStyle="1" w:styleId="CharStyle13">
    <w:name w:val="Другое_"/>
    <w:basedOn w:val="DefaultParagraphFont"/>
    <w:link w:val="Style12"/>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Заголовок №1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1">
    <w:name w:val="Подпись к таблице_"/>
    <w:basedOn w:val="DefaultParagraphFont"/>
    <w:link w:val="Style20"/>
    <w:rPr>
      <w:rFonts w:ascii="Times New Roman" w:eastAsia="Times New Roman" w:hAnsi="Times New Roman" w:cs="Times New Roman"/>
      <w:b w:val="0"/>
      <w:bCs w:val="0"/>
      <w:i w:val="0"/>
      <w:iCs w:val="0"/>
      <w:smallCaps w:val="0"/>
      <w:strike w:val="0"/>
      <w:sz w:val="26"/>
      <w:szCs w:val="26"/>
      <w:u w:val="none"/>
    </w:rPr>
  </w:style>
  <w:style w:type="character" w:customStyle="1" w:styleId="CharStyle30">
    <w:name w:val="Подпись к картинке_"/>
    <w:basedOn w:val="DefaultParagraphFont"/>
    <w:link w:val="Style29"/>
    <w:rPr>
      <w:rFonts w:ascii="Times New Roman" w:eastAsia="Times New Roman" w:hAnsi="Times New Roman" w:cs="Times New Roman"/>
      <w:b w:val="0"/>
      <w:bCs w:val="0"/>
      <w:i w:val="0"/>
      <w:iCs w:val="0"/>
      <w:smallCaps w:val="0"/>
      <w:strike w:val="0"/>
      <w:color w:val="242424"/>
      <w:sz w:val="11"/>
      <w:szCs w:val="11"/>
      <w:u w:val="none"/>
    </w:rPr>
  </w:style>
  <w:style w:type="character" w:customStyle="1" w:styleId="CharStyle35">
    <w:name w:val="Основной текст (2)_"/>
    <w:basedOn w:val="DefaultParagraphFont"/>
    <w:link w:val="Style34"/>
    <w:rPr>
      <w:rFonts w:ascii="Arial" w:eastAsia="Arial" w:hAnsi="Arial" w:cs="Arial"/>
      <w:b w:val="0"/>
      <w:bCs w:val="0"/>
      <w:i w:val="0"/>
      <w:iCs w:val="0"/>
      <w:smallCaps w:val="0"/>
      <w:strike w:val="0"/>
      <w:color w:val="424242"/>
      <w:sz w:val="11"/>
      <w:szCs w:val="11"/>
      <w:u w:val="none"/>
    </w:rPr>
  </w:style>
  <w:style w:type="paragraph" w:customStyle="1" w:styleId="Style2">
    <w:name w:val="Основной текст"/>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4">
    <w:name w:val="Основной текст (3)"/>
    <w:basedOn w:val="Normal"/>
    <w:link w:val="CharStyle5"/>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360A4"/>
      <w:sz w:val="16"/>
      <w:szCs w:val="16"/>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0">
    <w:name w:val="Основной текст (4)"/>
    <w:basedOn w:val="Normal"/>
    <w:link w:val="CharStyle11"/>
    <w:pPr>
      <w:widowControl w:val="0"/>
      <w:shd w:val="clear" w:color="auto" w:fill="auto"/>
      <w:spacing w:after="240"/>
    </w:pPr>
    <w:rPr>
      <w:rFonts w:ascii="Times New Roman" w:eastAsia="Times New Roman" w:hAnsi="Times New Roman" w:cs="Times New Roman"/>
      <w:b/>
      <w:bCs/>
      <w:i w:val="0"/>
      <w:iCs w:val="0"/>
      <w:smallCaps w:val="0"/>
      <w:strike w:val="0"/>
      <w:color w:val="4360A4"/>
      <w:sz w:val="20"/>
      <w:szCs w:val="20"/>
      <w:u w:val="none"/>
    </w:rPr>
  </w:style>
  <w:style w:type="paragraph" w:customStyle="1" w:styleId="Style12">
    <w:name w:val="Другое"/>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Заголовок №1"/>
    <w:basedOn w:val="Normal"/>
    <w:link w:val="CharStyle18"/>
    <w:pPr>
      <w:widowControl w:val="0"/>
      <w:shd w:val="clear" w:color="auto" w:fill="auto"/>
      <w:ind w:firstLine="760"/>
      <w:outlineLvl w:val="0"/>
    </w:pPr>
    <w:rPr>
      <w:rFonts w:ascii="Times New Roman" w:eastAsia="Times New Roman" w:hAnsi="Times New Roman" w:cs="Times New Roman"/>
      <w:b w:val="0"/>
      <w:bCs w:val="0"/>
      <w:i w:val="0"/>
      <w:iCs w:val="0"/>
      <w:smallCaps w:val="0"/>
      <w:strike w:val="0"/>
      <w:sz w:val="26"/>
      <w:szCs w:val="26"/>
      <w:u w:val="none"/>
    </w:rPr>
  </w:style>
  <w:style w:type="paragraph" w:customStyle="1" w:styleId="Style20">
    <w:name w:val="Подпись к таблице"/>
    <w:basedOn w:val="Normal"/>
    <w:link w:val="CharStyle21"/>
    <w:pPr>
      <w:widowControl w:val="0"/>
      <w:shd w:val="clear" w:color="auto" w:fill="auto"/>
      <w:ind w:firstLine="720"/>
    </w:pPr>
    <w:rPr>
      <w:rFonts w:ascii="Times New Roman" w:eastAsia="Times New Roman" w:hAnsi="Times New Roman" w:cs="Times New Roman"/>
      <w:b w:val="0"/>
      <w:bCs w:val="0"/>
      <w:i w:val="0"/>
      <w:iCs w:val="0"/>
      <w:smallCaps w:val="0"/>
      <w:strike w:val="0"/>
      <w:sz w:val="26"/>
      <w:szCs w:val="26"/>
      <w:u w:val="none"/>
    </w:rPr>
  </w:style>
  <w:style w:type="paragraph" w:customStyle="1" w:styleId="Style29">
    <w:name w:val="Подпись к картинке"/>
    <w:basedOn w:val="Normal"/>
    <w:link w:val="CharStyle30"/>
    <w:pPr>
      <w:widowControl w:val="0"/>
      <w:shd w:val="clear" w:color="auto" w:fill="auto"/>
    </w:pPr>
    <w:rPr>
      <w:rFonts w:ascii="Times New Roman" w:eastAsia="Times New Roman" w:hAnsi="Times New Roman" w:cs="Times New Roman"/>
      <w:b w:val="0"/>
      <w:bCs w:val="0"/>
      <w:i w:val="0"/>
      <w:iCs w:val="0"/>
      <w:smallCaps w:val="0"/>
      <w:strike w:val="0"/>
      <w:color w:val="242424"/>
      <w:sz w:val="11"/>
      <w:szCs w:val="11"/>
      <w:u w:val="none"/>
    </w:rPr>
  </w:style>
  <w:style w:type="paragraph" w:customStyle="1" w:styleId="Style34">
    <w:name w:val="Основной текст (2)"/>
    <w:basedOn w:val="Normal"/>
    <w:link w:val="CharStyle35"/>
    <w:pPr>
      <w:widowControl w:val="0"/>
      <w:shd w:val="clear" w:color="auto" w:fill="auto"/>
      <w:ind w:left="3840"/>
    </w:pPr>
    <w:rPr>
      <w:rFonts w:ascii="Arial" w:eastAsia="Arial" w:hAnsi="Arial" w:cs="Arial"/>
      <w:b w:val="0"/>
      <w:bCs w:val="0"/>
      <w:i w:val="0"/>
      <w:iCs w:val="0"/>
      <w:smallCaps w:val="0"/>
      <w:strike w:val="0"/>
      <w:color w:val="424242"/>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