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1781810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721360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800000000000004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«А-С ТРЕЙД»</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а-81гаде.когр@тай.ги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ГБУ «Мосгоргеотрест»</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Егто8кктаЦУ@81г.то8.ги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1380" w:line="240" w:lineRule="auto"/>
        <w:ind w:left="1040" w:right="0" w:firstLine="0"/>
        <w:jc w:val="both"/>
      </w:pPr>
      <w:r>
        <w:rPr>
          <w:color w:val="000000"/>
          <w:spacing w:val="0"/>
          <w:w w:val="100"/>
          <w:position w:val="0"/>
          <w:shd w:val="clear" w:color="auto" w:fill="auto"/>
          <w:lang w:val="ru-RU" w:eastAsia="ru-RU" w:bidi="ru-RU"/>
        </w:rPr>
        <w:t>т&amp;@го8екогд.ги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077/06/106-26095-ЭП/23/2023 о нарушении</w:t>
        <w:br/>
        <w:t>законодательства о контрактной системе</w:t>
      </w:r>
    </w:p>
    <w:p>
      <w:pPr>
        <w:pStyle w:val="Style9"/>
        <w:keepNext/>
        <w:keepLines/>
        <w:widowControl w:val="0"/>
        <w:shd w:val="clear" w:color="auto" w:fill="auto"/>
        <w:tabs>
          <w:tab w:pos="8957" w:val="left"/>
        </w:tabs>
        <w:bidi w:val="0"/>
        <w:spacing w:before="0" w:after="0" w:line="240" w:lineRule="auto"/>
        <w:ind w:left="0" w:right="0" w:firstLine="0"/>
        <w:jc w:val="both"/>
      </w:pPr>
      <w:bookmarkStart w:id="0" w:name="bookmark0"/>
      <w:r>
        <w:rPr>
          <w:color w:val="000000"/>
          <w:spacing w:val="0"/>
          <w:w w:val="100"/>
          <w:position w:val="0"/>
          <w:shd w:val="clear" w:color="auto" w:fill="auto"/>
          <w:lang w:val="ru-RU" w:eastAsia="ru-RU" w:bidi="ru-RU"/>
        </w:rPr>
        <w:t>28.04.2023</w:t>
        <w:tab/>
        <w:t>г. Москва</w:t>
      </w:r>
      <w:bookmarkEnd w:id="0"/>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Председательствующего - главного государственного инспектора отдела обжалования государственных закупок Е.А. Мироновой,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Главного специалиста-эксперта отдела обжалования государственных закупок Н.А. Узкого,</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Специалиста-эксперта отдела обжалования государственных закупок Е.Д. Мартьяновой,</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видеоконференцсвязи) в целях исполнения Указа Мэра Москвы от 25.09.2020 № 92-УМ «О внесении изменений в правовые акты города Москвы» и предупреждения распространения в городе Москве инфекции, вызванной коронавирусом 2019-пСоУ,</w:t>
      </w:r>
    </w:p>
    <w:p>
      <w:pPr>
        <w:pStyle w:val="Style6"/>
        <w:keepNext w:val="0"/>
        <w:keepLines w:val="0"/>
        <w:widowControl w:val="0"/>
        <w:shd w:val="clear" w:color="auto" w:fill="auto"/>
        <w:bidi w:val="0"/>
        <w:spacing w:before="0" w:after="0" w:line="240" w:lineRule="auto"/>
        <w:ind w:left="0" w:right="0" w:firstLine="700"/>
        <w:jc w:val="both"/>
      </w:pPr>
      <w:r>
        <w:rPr>
          <w:color w:val="000000"/>
          <w:spacing w:val="0"/>
          <w:w w:val="100"/>
          <w:position w:val="0"/>
          <w:shd w:val="clear" w:color="auto" w:fill="auto"/>
          <w:lang w:val="ru-RU" w:eastAsia="ru-RU" w:bidi="ru-RU"/>
        </w:rPr>
        <w:t>при участии представителя ГБУ «Мосгоргеотрест», ООО «А-С ТРЕЙД»,</w:t>
      </w:r>
    </w:p>
    <w:p>
      <w:pPr>
        <w:pStyle w:val="Style6"/>
        <w:keepNext w:val="0"/>
        <w:keepLines w:val="0"/>
        <w:widowControl w:val="0"/>
        <w:shd w:val="clear" w:color="auto" w:fill="auto"/>
        <w:bidi w:val="0"/>
        <w:spacing w:before="0" w:after="280" w:line="240" w:lineRule="auto"/>
        <w:ind w:left="0" w:right="0" w:firstLine="700"/>
        <w:jc w:val="both"/>
      </w:pPr>
      <w:r>
        <w:rPr>
          <w:color w:val="000000"/>
          <w:spacing w:val="0"/>
          <w:w w:val="100"/>
          <w:position w:val="0"/>
          <w:shd w:val="clear" w:color="auto" w:fill="auto"/>
          <w:lang w:val="ru-RU" w:eastAsia="ru-RU" w:bidi="ru-RU"/>
        </w:rPr>
        <w:t>рассмотрев жалобу ООО «А-С ТРЕЙД» (далее — Заявитель) на действия ГБУ «Мосгоргеотрест» (далее — Заказчик) при проведении электронного аукциона на право заключения государственного контракта на поставку лакокрасочных материалов (Закупка № 0373500001423000028) (далее -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6"/>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hd w:val="clear" w:color="auto" w:fill="auto"/>
          <w:lang w:val="ru-RU" w:eastAsia="ru-RU" w:bidi="ru-RU"/>
        </w:rPr>
        <w:t>УСТАНОВИЛА:</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На заседании Комиссии Управления представлены документы и сведения, запрашиваемые письмом Московского УФАС России исх.№ЕИ/18191/23 от 25.04.2023.</w:t>
      </w:r>
    </w:p>
    <w:p>
      <w:pPr>
        <w:pStyle w:val="Style6"/>
        <w:keepNext w:val="0"/>
        <w:keepLines w:val="0"/>
        <w:widowControl w:val="0"/>
        <w:shd w:val="clear" w:color="auto" w:fill="auto"/>
        <w:bidi w:val="0"/>
        <w:spacing w:before="0" w:after="0" w:line="240" w:lineRule="auto"/>
        <w:ind w:left="0" w:right="0" w:firstLine="560"/>
        <w:jc w:val="both"/>
      </w:pPr>
      <w:r>
        <w:rPr>
          <w:color w:val="000000"/>
          <w:spacing w:val="0"/>
          <w:w w:val="100"/>
          <w:position w:val="0"/>
          <w:shd w:val="clear" w:color="auto" w:fill="auto"/>
          <w:lang w:val="ru-RU" w:eastAsia="ru-RU" w:bidi="ru-RU"/>
        </w:rPr>
        <w:t>В результате рассмотрения жалобы,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п.1 ч.2 ст.42 Закона о контрактной системе извещение об осуществлении закупки, если иное не предусмотрено Законом о контрактной системе, должно содержать описание объекта закупки в соответствии со статьей 33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Ч.1 ст.33 Закона о контрактной системе установлено, что Заказчик в случаях, предусмотренных настоящим Федеральным законом, при описании объекта закупки должен руководствоваться следующими правилами: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1)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2)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w:t>
      </w:r>
      <w:r>
        <w:rPr>
          <w:color w:val="000000"/>
          <w:spacing w:val="0"/>
          <w:w w:val="100"/>
          <w:position w:val="0"/>
          <w:shd w:val="clear" w:color="auto" w:fill="auto"/>
          <w:lang w:val="ru-RU" w:eastAsia="ru-RU" w:bidi="ru-RU"/>
        </w:rPr>
        <w:t>обозначения и терминология, в документации о закупке должно содержаться обоснование необходимости использования других показателей, требований, условных обозначений и терминологии.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ч.2 ст.33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и (или) значения показателей, которые не могут изменяться.</w:t>
      </w:r>
    </w:p>
    <w:p>
      <w:pPr>
        <w:pStyle w:val="Style6"/>
        <w:keepNext w:val="0"/>
        <w:keepLines w:val="0"/>
        <w:widowControl w:val="0"/>
        <w:numPr>
          <w:ilvl w:val="0"/>
          <w:numId w:val="1"/>
        </w:numPr>
        <w:shd w:val="clear" w:color="auto" w:fill="auto"/>
        <w:tabs>
          <w:tab w:pos="102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 составе жалобы Заявитель указывает, что в составе технической части закупочной документации, а именно в части описании объекта закупки Заказчиком неправомерно установлен товарный знак со словами «или эквивалент» без надлежащего обоснования использования конкретного товарного знака «Ргой- Ете», что вводит участников закупки в заблуждение и нарушает положения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продукция с товарным знаком «РгоГ1-1.те» является продукцией производителя из недружественной страны, ввиду чего поставка такого товара ограничена.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Заявителем также обжалуется неправомерное установление запрета в соответствии с постановлением Правительства Российской Федерации от 30 апреля 2020 г. № 616 «Об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(далее - Постановление № 616), поскольку закупаемый заказчиком товар отсутствует в реестре промышленных товаров, произведенных в странах ЕВРАЗЭС.</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информацию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ч.3 ст.14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w:t>
      </w:r>
      <w:r>
        <w:rPr>
          <w:color w:val="000000"/>
          <w:spacing w:val="0"/>
          <w:w w:val="100"/>
          <w:position w:val="0"/>
          <w:shd w:val="clear" w:color="auto" w:fill="auto"/>
          <w:lang w:val="ru-RU" w:eastAsia="ru-RU" w:bidi="ru-RU"/>
        </w:rPr>
        <w:t>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п.3 ч.2 ст.42 Закона о контрактной системе, извещение об осуществлении закупки должно содержать требования к содержанию, составу заявки на участие в закупке в соответствии с Законом о контрактной системе и инструкция по ее заполнению. При этом не допускается установление требований, влекущих за собой ограничение количества участников закупки.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в Извещении о проведении электронного аукциона от 19.04.2023 №0373500001423000028 установлен запрет допуска в отношении товаров, на основании постановления № 616.</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 постановления № 616 установлен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п.12 постановления № 616 для целей соблюдения запретов, установленных п.1 и п.2 постановления № 616,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 При этом медицинские маски не могут быть предметом одного контракта (одного лота) с другими отдельными видами промышленных товаров, включенных в перечень.</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 ст.106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в соответствии с положениями п.1 ч.1 ст.33 Закона о контрактной системе допускается использование в описании объекта закупки указания на товарный знак при условии сопровождения такого указания словами «или эквивалент», при этом обязанности о наличии обоснования использования товарного знака Законом о контрактной системе не предусмотрено.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также отмечает, что на заседании Заявителем не представлено документов и сведений, свидетельствующих о невозможности поставки продукции «РгоП-Рше», отсутствие таковой у дистрибьюторов и на складах у иных участников рынка.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представитель Заказчика отметил, что используемые Заказчиком коды ОКПД2 при описании объекта закупки, например: 20.52.10.190, 20.30.22.110, 20.30.22.170, 25.73.40.290 включены в перечень товаров, на которых распространяется действие постановления №616, ввиду чего такой запрет установлен в составе закупочной документации.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Постановление Правительства РФ от 30.04.2020 № 616 не вменяет Заказчику требований о подтверждении им на этапе подготовки аукционной документации наличия той или иной продукции в реестре промышленной продукции, произведенной на территории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доводы жалобы не находят своего подтверждения и являются необоснованными.</w:t>
      </w:r>
    </w:p>
    <w:p>
      <w:pPr>
        <w:pStyle w:val="Style6"/>
        <w:keepNext w:val="0"/>
        <w:keepLines w:val="0"/>
        <w:widowControl w:val="0"/>
        <w:numPr>
          <w:ilvl w:val="0"/>
          <w:numId w:val="1"/>
        </w:numPr>
        <w:shd w:val="clear" w:color="auto" w:fill="auto"/>
        <w:tabs>
          <w:tab w:pos="102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Также в составе жалобы Заявитель указывает на неправомерное установление параметров эквивалентности поставляемых товаров по пп. 1-76, например, по п.7 «423 8В компонент краски «РгоП-Рше» или эквивалент»: «Цвет: специальный красный с голубоватым оттенком», «Назначение: создание базовых красок с металликовым и перламутровым эффектом для ремонтной окраски автомобиля», поскольку на официальном сайте дистрибьютора компании «Ргой- ^^пе» ООО «Интерколор» размещена информация о том, что «Компонент базовых красок Ргой_Ьте СО^ОК М1Х 8В 423 (1л) - Специальный красный»: снят с продажи, наименование цвета не соответствует техническому заданию, поскольку на сайте указан «специальный красный», а не «специальный красный с голубоватым оттенком» как требуется Заказчиком, при этом сведения «Назначение: создание базовых красок с металликовым и перламутровым эффектом для ремонтной окраски автомобиля» на сайте ООО «Интерколор» отсутствуют, заявлено ионе назначение «Используется совместно с другими красными компонентами в эффектных и неэффектных цветах. При смешивании с «металликами» или белыми цветами получаются чистые розовые тона», про «перламутр» сведений нет. Более того, красок имеющих одновременно металликовый и перламутровый эффект не существует.</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несмотря на указание возможности поставки эквивалентной продукции, фактически, красок, обладающими всеми установленными Заказчиком характеристиками, помимо продукции «РгоП-Рше», не существует на товарном рынке.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заседании Комиссии Управления представитель Заказчика указал, что при описании объекта закупочной процедуры, в том числе товара по п.7 «423 8В компонент краски «РгоП-Рте» или эквивалент» Заказчик руководствовался информацией из каталога продукции «РгоП-Рше», ввиду чего установленное описание не противоречит сведениям производителя.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Выдержки из каталога продукции «Ргой-йте» представлены на заседании Комиссии Управления.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Представитель Заказчика также пояснил, что в открытом доступе имеются </w:t>
      </w:r>
      <w:r>
        <w:rPr>
          <w:color w:val="000000"/>
          <w:spacing w:val="0"/>
          <w:w w:val="100"/>
          <w:position w:val="0"/>
          <w:shd w:val="clear" w:color="auto" w:fill="auto"/>
          <w:lang w:val="ru-RU" w:eastAsia="ru-RU" w:bidi="ru-RU"/>
        </w:rPr>
        <w:t>информационные материалы, в том числе отдельные сайты (1Шр^//1&lt;1\У1со1о1\П|/ре1г^)с1|1ауа-1аЬНса-1П1к^оу). позволяющие осуществить перевод кодов краски одного бренда в коды краски другого. В том числе у каждого дистрибьютера или производителя краски имеется собственная таблица, позволяющая ему подбирать эквиваленты. Например, пигмент №421 торговой марки Ргой-1те соответствует номеру Е35 в линейке бренда ЙЕ'1/, что свидетельствует о возможности поставки иного производителя.</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Представитель Заказчика также обратил внимание, что значение характеристики «Назначение: создание базовых красок с металликовым и перламутровым эффектом для ремонтной окраски автомобиля» не являются противоречивыми, поскольку фактически заказчику необходим компонент который может применяться для создания красок с металликовым эффектом так и отдельно перламутровым.</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Комиссия Управления отмечает, что представленный Заказчиком сайт 11Пр^//1&lt;1\У1со1о1\П1/ре1г\х)с1|1ауа-1аЬНса-1П11&lt;^о\' не является стандартизированным классификатором пигментов красок производителей.</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пигмент Е35 в линейке бренда ЙЕ'1/ не отвечает требованиям технической части закупочной документации, поскольку на сайте производителя указано: «Полупрозрачный красный с синеватым оттенком», тогда как в Техническом задании предъявлено требование «</w:t>
      </w:r>
      <w:r>
        <w:rPr>
          <w:color w:val="000000"/>
          <w:spacing w:val="0"/>
          <w:w w:val="100"/>
          <w:position w:val="0"/>
          <w:u w:val="single"/>
          <w:shd w:val="clear" w:color="auto" w:fill="auto"/>
          <w:lang w:val="ru-RU" w:eastAsia="ru-RU" w:bidi="ru-RU"/>
        </w:rPr>
        <w:t>Специальный</w:t>
      </w:r>
      <w:r>
        <w:rPr>
          <w:color w:val="000000"/>
          <w:spacing w:val="0"/>
          <w:w w:val="100"/>
          <w:position w:val="0"/>
          <w:shd w:val="clear" w:color="auto" w:fill="auto"/>
          <w:lang w:val="ru-RU" w:eastAsia="ru-RU" w:bidi="ru-RU"/>
        </w:rPr>
        <w:t xml:space="preserve"> красный с голубоватым оттенком». Наряду с изложенным, в составе сведений из открытых источников отсутствует информация о соответствии такого компонента требованиям иных характеристик.</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Аналогично по всем товарам с пп. 1-76.</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Доказательств обратного представителем Заказчика не представлено.</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Комиссия Управления также отмечает, что из установленной характеристики «Назначение: создание базовых красок с металликовым и перламутровым эффектом для ремонтной окраски автомобиля» не представляется возможным однозначным образом определить принадлежность компонента к созданию красок одновременно или отдельно двух эффектов.</w:t>
      </w:r>
    </w:p>
    <w:p>
      <w:pPr>
        <w:pStyle w:val="Style6"/>
        <w:keepNext w:val="0"/>
        <w:keepLines w:val="0"/>
        <w:widowControl w:val="0"/>
        <w:shd w:val="clear" w:color="auto" w:fill="auto"/>
        <w:tabs>
          <w:tab w:pos="367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нарушении положения п.1 ч.1 ст.33 Закона о контрактной системе, что, в свою очередь, содержит признаки состава административного правонарушения, предусмотренного ч.1.4</w:t>
        <w:tab/>
        <w:t>ст.7.30 Кодекса Российской Федерации об</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административных правонарушениях.</w:t>
      </w:r>
    </w:p>
    <w:p>
      <w:pPr>
        <w:pStyle w:val="Style6"/>
        <w:keepNext w:val="0"/>
        <w:keepLines w:val="0"/>
        <w:widowControl w:val="0"/>
        <w:numPr>
          <w:ilvl w:val="0"/>
          <w:numId w:val="1"/>
        </w:numPr>
        <w:shd w:val="clear" w:color="auto" w:fill="auto"/>
        <w:tabs>
          <w:tab w:pos="1039"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Кроме того, в составе жалобы Заявителем также обжалуется установление неправомерных требований для закупаемых товаров по пп. 1-76 по параметру «Плотность, г/см3: &gt; 0.94», поскольку такие сведения не влияют на качество краски.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согласившись с доводом жалобы, представитель Заказчика указал, что плотность - это один из основных показателей качества лакокрасочных изделий, указываемый производителем и определяющий качество продукции. Чем выше плотность ЛКМ, тем выше степень урывистости - адгезии (способность лакокрасочного покрытия к прочному сцеплению с окрашиваемой поверхностью).</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В силу ч.4 ст.106 Закона о контрактной системе обязанность доказывания </w:t>
      </w:r>
      <w:r>
        <w:rPr>
          <w:color w:val="000000"/>
          <w:spacing w:val="0"/>
          <w:w w:val="100"/>
          <w:position w:val="0"/>
          <w:shd w:val="clear" w:color="auto" w:fill="auto"/>
          <w:lang w:val="ru-RU" w:eastAsia="ru-RU" w:bidi="ru-RU"/>
        </w:rPr>
        <w:t>нарушения Заказчиком своих прав и законных интересов лежит на подателе жалобы, однако в составе жалобы не представлено документов и сведений, свидетельствующих о неправомерности действий Заказчика в части установления вышеуказанного положения закупочной документации, а также документов и сведений, подтверждающих, что такие сведения не указываются производителями закупаемых товаров, что влечет за собой невозможность формирования заявки на участие в закупке.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 необоснованности вышеуказанного довода жалобы.</w:t>
      </w:r>
    </w:p>
    <w:p>
      <w:pPr>
        <w:pStyle w:val="Style6"/>
        <w:keepNext w:val="0"/>
        <w:keepLines w:val="0"/>
        <w:widowControl w:val="0"/>
        <w:shd w:val="clear" w:color="auto" w:fill="auto"/>
        <w:bidi w:val="0"/>
        <w:spacing w:before="0" w:after="240" w:line="240" w:lineRule="auto"/>
        <w:ind w:left="0" w:right="0" w:firstLine="740"/>
        <w:jc w:val="both"/>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6"/>
        <w:keepNext w:val="0"/>
        <w:keepLines w:val="0"/>
        <w:widowControl w:val="0"/>
        <w:shd w:val="clear" w:color="auto" w:fill="auto"/>
        <w:bidi w:val="0"/>
        <w:spacing w:before="0" w:after="280" w:line="240" w:lineRule="auto"/>
        <w:ind w:left="0" w:right="0" w:firstLine="0"/>
        <w:jc w:val="center"/>
      </w:pPr>
      <w:r>
        <w:rPr>
          <w:b/>
          <w:bCs/>
          <w:color w:val="000000"/>
          <w:spacing w:val="0"/>
          <w:w w:val="100"/>
          <w:position w:val="0"/>
          <w:shd w:val="clear" w:color="auto" w:fill="auto"/>
          <w:lang w:val="ru-RU" w:eastAsia="ru-RU" w:bidi="ru-RU"/>
        </w:rPr>
        <w:t>Р Е Ш И Л А:</w:t>
      </w:r>
    </w:p>
    <w:p>
      <w:pPr>
        <w:pStyle w:val="Style6"/>
        <w:keepNext w:val="0"/>
        <w:keepLines w:val="0"/>
        <w:widowControl w:val="0"/>
        <w:numPr>
          <w:ilvl w:val="0"/>
          <w:numId w:val="3"/>
        </w:numPr>
        <w:shd w:val="clear" w:color="auto" w:fill="auto"/>
        <w:tabs>
          <w:tab w:pos="982"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жалобу ООО «А-С ТРЕЙД» на действия ГБУ «Мосгоргеотрест» обоснованной в части установления неправомерных положений технической части закупочной документации.</w:t>
      </w:r>
    </w:p>
    <w:p>
      <w:pPr>
        <w:pStyle w:val="Style6"/>
        <w:keepNext w:val="0"/>
        <w:keepLines w:val="0"/>
        <w:widowControl w:val="0"/>
        <w:numPr>
          <w:ilvl w:val="0"/>
          <w:numId w:val="3"/>
        </w:numPr>
        <w:shd w:val="clear" w:color="auto" w:fill="auto"/>
        <w:tabs>
          <w:tab w:pos="96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Признать в действиях Заказчика нарушение положений п.1 ч.1 ст.33 Закона о контрактной системе.</w:t>
      </w:r>
    </w:p>
    <w:p>
      <w:pPr>
        <w:pStyle w:val="Style6"/>
        <w:keepNext w:val="0"/>
        <w:keepLines w:val="0"/>
        <w:widowControl w:val="0"/>
        <w:numPr>
          <w:ilvl w:val="0"/>
          <w:numId w:val="3"/>
        </w:numPr>
        <w:shd w:val="clear" w:color="auto" w:fill="auto"/>
        <w:tabs>
          <w:tab w:pos="963" w:val="left"/>
        </w:tabs>
        <w:bidi w:val="0"/>
        <w:spacing w:before="0" w:after="0" w:line="240" w:lineRule="auto"/>
        <w:ind w:left="0" w:right="0" w:firstLine="600"/>
        <w:jc w:val="both"/>
      </w:pPr>
      <w:r>
        <w:rPr>
          <w:color w:val="000000"/>
          <w:spacing w:val="0"/>
          <w:w w:val="100"/>
          <w:position w:val="0"/>
          <w:shd w:val="clear" w:color="auto" w:fill="auto"/>
          <w:lang w:val="ru-RU" w:eastAsia="ru-RU" w:bidi="ru-RU"/>
        </w:rPr>
        <w:t>Выдать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numPr>
          <w:ilvl w:val="0"/>
          <w:numId w:val="3"/>
        </w:numPr>
        <w:shd w:val="clear" w:color="auto" w:fill="auto"/>
        <w:tabs>
          <w:tab w:pos="968" w:val="left"/>
        </w:tabs>
        <w:bidi w:val="0"/>
        <w:spacing w:before="0" w:after="660" w:line="240" w:lineRule="auto"/>
        <w:ind w:left="0" w:right="0" w:firstLine="600"/>
        <w:jc w:val="both"/>
      </w:pPr>
      <w:r>
        <w:rPr>
          <w:color w:val="000000"/>
          <w:spacing w:val="0"/>
          <w:w w:val="100"/>
          <w:position w:val="0"/>
          <w:shd w:val="clear" w:color="auto" w:fill="auto"/>
          <w:lang w:val="ru-RU" w:eastAsia="ru-RU" w:bidi="ru-RU"/>
        </w:rPr>
        <w:t>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tabs>
          <w:tab w:pos="8347" w:val="left"/>
        </w:tabs>
        <w:bidi w:val="0"/>
        <w:spacing w:before="0" w:after="1040" w:line="240" w:lineRule="auto"/>
        <w:ind w:left="0" w:right="0" w:firstLine="0"/>
        <w:jc w:val="both"/>
      </w:pPr>
      <w:r>
        <w:rPr>
          <w:color w:val="000000"/>
          <w:spacing w:val="0"/>
          <w:w w:val="100"/>
          <w:position w:val="0"/>
          <w:shd w:val="clear" w:color="auto" w:fill="auto"/>
          <w:lang w:val="ru-RU" w:eastAsia="ru-RU" w:bidi="ru-RU"/>
        </w:rPr>
        <w:t>Председательствующий</w:t>
        <w:tab/>
        <w:t>Е.А. Миронова</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1360" w:line="240" w:lineRule="auto"/>
        <w:ind w:left="0" w:right="0" w:firstLine="0"/>
        <w:jc w:val="right"/>
      </w:pPr>
      <w:r>
        <w:rPr>
          <w:color w:val="000000"/>
          <w:spacing w:val="0"/>
          <w:w w:val="100"/>
          <w:position w:val="0"/>
          <w:shd w:val="clear" w:color="auto" w:fill="auto"/>
          <w:lang w:val="ru-RU" w:eastAsia="ru-RU" w:bidi="ru-RU"/>
        </w:rPr>
        <w:t>Е.Д. Мартьянова</w:t>
      </w:r>
    </w:p>
    <w:p>
      <w:pPr>
        <w:pStyle w:val="Style6"/>
        <w:keepNext w:val="0"/>
        <w:keepLines w:val="0"/>
        <w:widowControl w:val="0"/>
        <w:shd w:val="clear" w:color="auto" w:fill="auto"/>
        <w:bidi w:val="0"/>
        <w:spacing w:before="0" w:after="520" w:line="240" w:lineRule="auto"/>
        <w:ind w:left="0" w:right="0" w:firstLine="0"/>
        <w:jc w:val="right"/>
      </w:pPr>
      <w:r>
        <w:rPr>
          <w:color w:val="000000"/>
          <w:spacing w:val="0"/>
          <w:w w:val="100"/>
          <w:position w:val="0"/>
          <w:shd w:val="clear" w:color="auto" w:fill="auto"/>
          <w:lang w:val="ru-RU" w:eastAsia="ru-RU" w:bidi="ru-RU"/>
        </w:rPr>
        <w:t>Н.А. Узкий</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Исп.Узкий Н.А.</w:t>
      </w:r>
    </w:p>
    <w:p>
      <w:pPr>
        <w:pStyle w:val="Style15"/>
        <w:keepNext w:val="0"/>
        <w:keepLines w:val="0"/>
        <w:widowControl w:val="0"/>
        <w:shd w:val="clear" w:color="auto" w:fill="auto"/>
        <w:bidi w:val="0"/>
        <w:spacing w:before="0" w:after="520" w:line="240" w:lineRule="auto"/>
        <w:ind w:left="0" w:right="0" w:firstLine="0"/>
        <w:jc w:val="left"/>
      </w:pPr>
      <w:r>
        <w:rPr>
          <w:color w:val="000000"/>
          <w:spacing w:val="0"/>
          <w:w w:val="100"/>
          <w:position w:val="0"/>
          <w:shd w:val="clear" w:color="auto" w:fill="auto"/>
          <w:lang w:val="ru-RU" w:eastAsia="ru-RU" w:bidi="ru-RU"/>
        </w:rPr>
        <w:t>тел.8(495)784-75-05</w:t>
      </w:r>
    </w:p>
    <w:sectPr>
      <w:headerReference w:type="default" r:id="rId7"/>
      <w:headerReference w:type="first" r:id="rId8"/>
      <w:footnotePr>
        <w:pos w:val="pageBottom"/>
        <w:numFmt w:val="decimal"/>
        <w:numRestart w:val="continuous"/>
      </w:footnotePr>
      <w:pgSz w:w="11900" w:h="16840"/>
      <w:pgMar w:top="1158" w:right="536" w:bottom="1115" w:left="1098" w:header="0" w:footer="3" w:gutter="0"/>
      <w:pgNumType w:start="1"/>
      <w:cols w:space="720"/>
      <w:noEndnote/>
      <w:titlePg/>
      <w:rtlGutter w:val="0"/>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3921760</wp:posOffset>
              </wp:positionH>
              <wp:positionV relativeFrom="page">
                <wp:posOffset>476250</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80000000000001pt;margin-top:37.5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11"/>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2)_"/>
    <w:basedOn w:val="DefaultParagraphFont"/>
    <w:link w:val="Style2"/>
    <w:rPr>
      <w:rFonts w:ascii="Times New Roman" w:eastAsia="Times New Roman" w:hAnsi="Times New Roman" w:cs="Times New Roman"/>
      <w:b w:val="0"/>
      <w:bCs w:val="0"/>
      <w:i w:val="0"/>
      <w:iCs w:val="0"/>
      <w:smallCaps w:val="0"/>
      <w:strike w:val="0"/>
      <w:color w:val="425FA6"/>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10">
    <w:name w:val="Заголовок №1_"/>
    <w:basedOn w:val="DefaultParagraphFont"/>
    <w:link w:val="Style9"/>
    <w:rPr>
      <w:rFonts w:ascii="Times New Roman" w:eastAsia="Times New Roman" w:hAnsi="Times New Roman" w:cs="Times New Roman"/>
      <w:b/>
      <w:bCs/>
      <w:i w:val="0"/>
      <w:iCs w:val="0"/>
      <w:smallCaps w:val="0"/>
      <w:strike w:val="0"/>
      <w:sz w:val="28"/>
      <w:szCs w:val="28"/>
      <w:u w:val="none"/>
    </w:rPr>
  </w:style>
  <w:style w:type="character" w:customStyle="1" w:styleId="CharStyle12">
    <w:name w:val="Колонтитул (2)_"/>
    <w:basedOn w:val="DefaultParagraphFont"/>
    <w:link w:val="Style11"/>
    <w:rPr>
      <w:rFonts w:ascii="Times New Roman" w:eastAsia="Times New Roman" w:hAnsi="Times New Roman" w:cs="Times New Roman"/>
      <w:b w:val="0"/>
      <w:bCs w:val="0"/>
      <w:i w:val="0"/>
      <w:iCs w:val="0"/>
      <w:smallCaps w:val="0"/>
      <w:strike w:val="0"/>
      <w:sz w:val="20"/>
      <w:szCs w:val="20"/>
      <w:u w:val="none"/>
    </w:rPr>
  </w:style>
  <w:style w:type="character" w:customStyle="1" w:styleId="CharStyle16">
    <w:name w:val="Основной текст (3)_"/>
    <w:basedOn w:val="DefaultParagraphFont"/>
    <w:link w:val="Style15"/>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2)"/>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25FA6"/>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9">
    <w:name w:val="Заголовок №1"/>
    <w:basedOn w:val="Normal"/>
    <w:link w:val="CharStyle10"/>
    <w:pPr>
      <w:widowControl w:val="0"/>
      <w:shd w:val="clear" w:color="auto" w:fill="auto"/>
      <w:outlineLvl w:val="0"/>
    </w:pPr>
    <w:rPr>
      <w:rFonts w:ascii="Times New Roman" w:eastAsia="Times New Roman" w:hAnsi="Times New Roman" w:cs="Times New Roman"/>
      <w:b/>
      <w:bCs/>
      <w:i w:val="0"/>
      <w:iCs w:val="0"/>
      <w:smallCaps w:val="0"/>
      <w:strike w:val="0"/>
      <w:sz w:val="28"/>
      <w:szCs w:val="28"/>
      <w:u w:val="none"/>
    </w:rPr>
  </w:style>
  <w:style w:type="paragraph" w:customStyle="1" w:styleId="Style11">
    <w:name w:val="Колонтитул (2)"/>
    <w:basedOn w:val="Normal"/>
    <w:link w:val="CharStyle12"/>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5">
    <w:name w:val="Основной текст (3)"/>
    <w:basedOn w:val="Normal"/>
    <w:link w:val="CharStyle16"/>
    <w:pPr>
      <w:widowControl w:val="0"/>
      <w:shd w:val="clear" w:color="auto" w:fill="auto"/>
      <w:spacing w:after="26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header" Target="header2.xml"/></Relationships>
</file>