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Забайкальскому краю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Лермонтова, 14, г. Чита, 672076</w:t>
        <w:br/>
        <w:t>почтовый адрес: а/я 803, г. Чита, 672000</w:t>
        <w:br/>
        <w:t>тел. (3022) 35-18-41, факс (3022) 32-12-31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е-та11: 1о75@Га8.§оу.ги</w:t>
      </w:r>
    </w:p>
    <w:p>
      <w:pPr>
        <w:pStyle w:val="Style12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3.05.2023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МГ/2126/2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3</w:t>
      </w:r>
      <w:bookmarkEnd w:id="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center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ГУЗ "КРАЕВАЯ КЛИНИЧЕСКАЯ</w:t>
        <w:br/>
        <w:t>БОЛЬНИЦА"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672038, Забайкальский край, Чита г,</w:t>
        <w:br/>
        <w:t>Коханского, Д.7.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хакирку@ккЬ.сЫ1а.ги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Медикэр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344022, г. Ростов-на-Дону, ул. Станиславского,</w:t>
        <w:br/>
        <w:t>№167/25, офис 602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1еда1.теШсаге@уапдех.ги;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теШсагет@уапдех.ги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ГКУ "ЗабГосЗакуп"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672010, Забайкальский край, Чита г, УЛИЦА</w:t>
        <w:br/>
        <w:t>АМУРСКАЯ, ДОМ 13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4"/>
          <w:szCs w:val="24"/>
        </w:rPr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63" w:right="637" w:bottom="1217" w:left="1140" w:header="0" w:footer="3" w:gutter="0"/>
          <w:pgNumType w:start="1"/>
          <w:cols w:num="2" w:space="720" w:equalWidth="0">
            <w:col w:w="4219" w:space="1094"/>
            <w:col w:w="4810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хаЬдо8хакир@до8хак.е-хаЬ.ш</w:t>
      </w:r>
    </w:p>
    <w:p>
      <w:pPr>
        <w:widowControl w:val="0"/>
        <w:spacing w:before="71" w:after="7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1" w:right="0" w:bottom="120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по рассмотрению жалобы № 075/06/105-149/2023 о нарушении законодательства</w:t>
        <w:br/>
        <w:t>при осуществлении закупки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7085" w:val="left"/>
        </w:tabs>
        <w:bidi w:val="0"/>
        <w:spacing w:before="0" w:after="2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02 мая 2023 года</w:t>
        <w:tab/>
        <w:t>г. Чита, ул. Лермонтова, 14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Забайкальского УФАС России по рассмотрению жалоб в сфере закупок в составе: председателя комиссии Гойгова М.Б., членов комиссии: Китаевой И.С. главного специалиста-эксперта отдела контроля закупок Забайкальского УФАС России, Уваровой В.В. ведущего специалиста-эксперта отдела контроля закупок Забайкальского УФАС России,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поступившую 21.04.2023, зарегистрированную 24.04.2023 жалобу ООО "МЕДИКЭР" на нарушение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уполномоченным учреждением - ГКУ «Забайкальский центр государственных закупок», заказчиком - ГОСУДАРСТВЕННОЕ УЧРЕЖДЕНИЕ ЗДРАВООХРАНЕНИЯ "КРАЕВАЯ КЛИНИЧЕСКАЯ БОЛЬНИЦА" при проведении электронного аукциона «Поставка ЙОГЕКСОЛ (00004072-ЭА)» (реестровый № 0891200000623003908),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присутствии посредством ВКС представителей: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заказчика: Исаевой Т.В. (доверенность от 18.01.2023), Труфановой С.М. (доверенность от 28.04.2023), Иванова Д.П. (доверенность от 09.02.2023), Шеретеко С.Г. (доверенность от 06.06.2022),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уполномоченного учреждения - Харасовой Е.С. (доверенность от 26.04.2023 №4),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76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заявителя - о дате, времени и месте рассмотрения жалобы уведомлен надлежащим образом,</w:t>
      </w:r>
    </w:p>
    <w:p>
      <w:pPr>
        <w:pStyle w:val="Style19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</w:t>
      </w:r>
      <w:bookmarkEnd w:id="2"/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21.04.2023 в адрес Забайкальского УФАС России поступила жалоба ООО "МЕДИКЭР</w:t>
      </w:r>
      <w:r>
        <w:rPr>
          <w:color w:val="38383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"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нарушение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при проведении закупки № 0891200000623003908.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своей жалобе заявитель указал, что в техническом задании заказчик установил следующие требования к закупаемому лекарственному препарату МНН: Йогексол: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«Наличие в инструкции по медицинскому применению указания "Допускается нагревание препарата до 37 о С (до температуры тела)».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считает, что заказчиком при обосновании потребности не учтено, что все лекарственные препараты МНН: Йогексол применяются при одних и тех же показаниях, и требование к возможности нагрева препарата до температуры тела не что иное, как завуалированное требование к нагреву лекарственного препарата до 37С, которое соответствует единственному торговому наименованию Омнипак.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заявитель указал, что требования технического задания составлены таким образом, что их совокупности отвечает препарат единственного производителя - ТН: Омнипак РУ № П №15799/01. Однако фактически обоснование Заказчика не соответствует реальной практике применения лекарственных препаратов МНН: Йогексол.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заявитель считает, что из описания объекта закупки подлежат исключению терапевтически незначимые требования к возможности нагревания препарата до температуры тела (до 37 гр.С), соответствующие единственному производителю - ТН: Омнипак.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Представители заказчика и уполномоченного учреждения с доводами жалобы не согласились, жалобу считают необоснованной.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ходе рассмотрения жалобы, комиссией на основании пункта 1 части 15 статьи 99 Закона о контрактной системе проведена внеплановая проверка закупки № 0891200000623003908, в ходе которой установлено следующее.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14.04.2023 уполномоченным учреждением в интересах заказчика на официальном сайте ЕИС размещены извещение и электронные документы о проведении электронного аукциона «Поставка ЙОГЕКСОЛ (00004072-ЭА)» (реестровый № 0891200000623003908).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контракта 5 456 340,00 рублей.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протоколом подведения итогов определения поставщика (подрядчика, исполнителя) от 24.04.2023 на участие в закупке поступило 2 заявки, обе заявки признаны соответствующими требованиям извещения и Закона о контрактной системе.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момент проведения Комиссии контракт не заключен.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представленные документы, заслушав объяснения сторон, Комиссия приходит к следующим выводам.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пунктом 1 части 1 статьи 33 Закона о контрактной системе заказчик в случаях, предусмотренных настоящим Федеральным законом, при описании объекта закупки должен руководствоваться следующими правилами: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Пунктом 6 части 1 статьи 33 Закона о контрактной системе документация, о закупке должна содержать указание на международные непатентованные наименования лекарственных средств или при отсутствии таких наименований химические, группировочные наименования, если объектом закупки являются лекарственные средства.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частью 5 статьи 33 Закона о контрактной системе особенности описания отдельных видов объектов закупок могут устанавливаться Правительством Российской Федерации.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Постановлением Правительства РФ от 15 ноября 2017 года № 1380 «Об особенностях описания лекарственных препаратов для медицинского применения, являющихся объектом закупки для обеспечения государственных и муниципальных нужд» утверждены правила описания лекарственных препаратов являющихся объектом закупки для обеспечения государственных и муниципальных нужд.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Кроме, того в соответствии с пунктом 5 постановления Правительства РФ от 15 ноября 2017 года № 1380 «Об особенностях описания лекарственных препаратов для медицинского применения, являющихся объектом закупки для обеспечения государственных и муниципальных нужд» при описании объекта закупки не допускается указывать: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5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эквивалентные дозировки лекарственного препарата, предусматривающие необходимость деления твердой лекарственной формы препарата;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5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дозировку лекарственного препарата в определенных единицах измерения при возможности конвертирования в иные единицы измерения (например, "МЕ" (международная единица) может быть конвертирована в "мг" или "процент" может быть конвертирован в "мг/мл" и т.д.);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5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объем наполнения первичной упаковки лекарственного препарата, за исключением растворов для инфузий;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9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(отсутствие) вспомогательных веществ;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5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фиксированный температурный режим хранения препаратов при наличии альтернативного;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5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форму выпуска (первичной упаковки) лекарственного препарата (например, "ампула", "флакон", "блистер" и др.);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5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количество единиц (таблеток, ампул) лекарственного препарата во вторичной упаковке, а также требование поставки конкретного количества упаковок вместо количества лекарственного препарата;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5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требования к показателям фармакодинамики и (или) фармакокинетики лекарственного препарата (например, время начала действия, проявление максимального эффекта, продолжительность действия лекарственного препарата);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5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иные характеристики лекарственных препаратов, содержащиеся в инструкциях по применению лекарственных препаратов, указывающие на конкретного производителя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лекарственного препарата.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пунктом б постановления Правительства РФ от 15 ноября 2017 года № 1380 «Об особенностях описания лекарственных препаратов для медицинского применения, являющихся объектом закупки для обеспечения государственных и муниципальных нужд» описание объекта закупки может содержать указание на характеристики, предусмотренные подпунктами "в" - "и" пункта 5 указанного постановления, в случае, если не имеется иной возможности описать лекарственные препараты. При этом документация о закупке должна содержать: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23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) обоснование необходимости указания таких характеристик;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8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) показатели, позволяющие определить соответствие закупаемых лекарственных препаратов установленным характеристикам и максимальные и (или) минимальные значения таких показателей, а также значения показателей, которые не могут изменяться.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39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соответствия с требованиями извещения Заказчику необходим товар:</w:t>
      </w:r>
    </w:p>
    <w:tbl>
      <w:tblPr>
        <w:tblOverlap w:val="never"/>
        <w:jc w:val="center"/>
        <w:tblLayout w:type="fixed"/>
      </w:tblPr>
      <w:tblGrid>
        <w:gridCol w:w="547"/>
        <w:gridCol w:w="2045"/>
        <w:gridCol w:w="3946"/>
        <w:gridCol w:w="1498"/>
        <w:gridCol w:w="1786"/>
      </w:tblGrid>
      <w:tr>
        <w:trPr>
          <w:trHeight w:val="86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ИОГЕКСОЛ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раствор для инъекций 350 мг/мл или 350 мг йода/мл****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300 000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Миллилитр*</w:t>
            </w:r>
          </w:p>
        </w:tc>
      </w:tr>
      <w:tr>
        <w:trPr>
          <w:trHeight w:val="84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ИОГЕКСОЛ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раствор для инъекций 350 мг/мл или 350 мг йода/мл****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6 000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Миллилитр**</w:t>
            </w:r>
          </w:p>
        </w:tc>
      </w:tr>
      <w:tr>
        <w:trPr>
          <w:trHeight w:val="869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3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ИОГЕКСОЛ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раствор для инъекций 350 мг/мл или 350 мг йода/мл****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5 000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Миллилитр***</w:t>
            </w:r>
          </w:p>
        </w:tc>
      </w:tr>
    </w:tbl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3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-объем первичной упаковки должен составлять не менее 50 миллилитров и не более 100 миллилитров, в связи с введением средней разовой дозы препарата, не менее 50 миллилитров и не более 100 миллилитров.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3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*-объем первичной упаковки не должен составлять не менее 100 миллилитров и не более 200 миллилитров, в связи с введением средней разовой дозы препарата, не менее 100 миллилитров и не более 200 миллилитров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3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**-объем первичной упаковки не должен превышать 50 миллилитров, в связи с введением средней разовой дозы препарата, не более 50 миллилитров.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3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*** -Наличие в инструкции по медицинскому применению указания "Допускается нагревание препарата до 37 о С (до температуры тела)". Данное требование установлено на основании рекомендаций, согласно которым, нагрев контрастных препаратов до температуры 37 о С перед применением способствует снижению вязкости, позволяет увеличить скорость введения препарата, то есть повысить диагностическую эффективность процедуры исследования, а также уменьшить риск травмы сосуда малого диаметра.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описании объекта закупки заказчик установил требование «Наличие в инструкции по медицинскому применению указания "Допускается нагревание препарата до 37 о С (до температуры тела)", указав, что данное требование установлено на основании рекомендаций, согласно которым, нагрев контрастных препаратов до температуры 37 о С перед применением способствует снижению вязкости, позволяет увеличить скорость введения препарата, то есть повысить диагностическую эффективность процедуры исследования, а также уменьшить риск травмы сосуда малого диаметра.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Как пояснили представители заказчика, «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учетом особенностей большого контингента больных, поступающих в отделения ГУЗ «ККБ», к контрастному препарату предъявляются особые требования, направленные на минимизацию побочных проявлений у пациентов.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1" w:right="533" w:bottom="1200" w:left="1089" w:header="0" w:footer="3" w:gutter="0"/>
          <w:cols w:space="720"/>
          <w:noEndnote/>
          <w:rtlGutter w:val="0"/>
          <w:docGrid w:linePitch="360"/>
        </w:sectPr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лекарственного препарата, нагретого до температуры 37 градусов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(температуры тела человека), обеспечивает медицинских работников отделений больницы возможностью иметь объём препарата, готового к немедленному введению. Это, в свою очередь, позволяет избежать задержек, связанных с необходимостью согреть препарат до необходимой температуры, что особенно актуально при большом потоке пациентов, а также получить точную информацию об объёме и локализации повреждений и начать оказание помощи. Благодаря наличию лекарственного препарата в нагретом до температуры тела состоянии врачам удается оптимизировать сроки и время оказания помощи (в том числе и экстренной) поступившим пациентам, пациентам из отделений интенсивной терапии и реанимации, пациентам в послеоперационном периоде и оказывать процедуры бесперебойно, что обеспечивает увеличение потока пациентов и приводит к экономии времени, затрачиваемому на одного пациента, и способствует облегчению выполнения процедуры врачом и улучшает ее переносимость пациентами.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Порядок, метод и температура введения препарата влияет на качество и в конечном итоге на результаты проводимого исследования. Указание характеристики «Допускается нагревание препарата до температуры 37° С (до температуры тела)» обусловлено требованием методики контрастирования.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Требование к наличию препарата, готового к использованию в любой момент (в том числе и нагретым до температуры 37°С перед применением), является клинически значимым и обеспечивает возможность постоянного наличия в отделении контрастного препарата в нагретом состоянии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».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Методическим рекомендациям Научно-практического центра медицинской радиологии Департамента здравоохранения г. Москвы от 2018 г., нагревание рентгеноконтрастных препаратов прописано в общих правилах проведения процедуры и показано для улучшения переносимости препарата: необходимо контрастное средство перед введением нагреть до температуры тела (Методические рекомендации Научно</w:t>
        <w:softHyphen/>
        <w:t>практического центра медицинской радиологии Департамента здравоохранения г. Москвы от 2018 г). Нагревание рентгеноконтрастного препарата до температуры 37 градусов: повышает комфортность процедуры согласно клиническим наблюдениям; снижает риск экстравазации за счет уменьшения вязкости; снижает риск неблагоприятных событий при введении, влияет на качество и в конечном итоге на результаты исследования.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Оборот лекарственных средств на территории Российской Федерации регулируется Федеральным законом от 12.04.2010 №61-ФЗ «Об обращении лекарственных средств» (далее - Закон об обращении лекарственных средств), согласно части 1 статьи 13 которого лекарственные препараты вводятся в гражданский оборот на территории Российской Федерации, если они зарегистрированы соответствующим уполномоченным федеральным органом исполнительной власти. Следовательно, лекарственный препарат, зарегистрированный в соответствии с законодательством Российской Федерации, является товаром в контексте антимонопольного законодательства.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пункту 3 статьи 4 Закона о защите конкуренции под взаимозаменяемыми товарами понимаются товары, которые могут быть сравнимы по их функциональному назначению, применению, качественным и техническим характеристикам, цене и другим параметрам таким образом, что приобретатель действительно заменяет или готов заменить один товар другим при потреблении.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86" w:lineRule="auto"/>
        <w:ind w:left="0" w:right="0" w:firstLine="74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 xml:space="preserve">В связи с тем, что лекарственные препараты оказывают непосредственное влияние на здоровье и жизнь человека, при установлении конкретных требований к предмету торгов при размещении государственных заказов на поставку лекарственных средств, приоритетным должно быть не достижение максимального количества участников торгов,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2023-701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 достижение при лечении пациентов наилучшего терапевтического эффекта и полное исключение любых нежелательных реакций.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подпунктом 4 статьи 3 Закона о контрактной системе участником аукциона может стать любое лицо, предлагающее к поставке лекарственные средства, соответствующие требованиям аукционной документации, установленным исходя из потребностей заказчиков. Количество таких участников не ограничено.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 норм, содержащихся как в законодательстве о контрактной системе в сфере закупок для государственных и муниципальных нужд, так и в антимонопольном законодательстве, не усматривается обязанность заказчиков закупать исключительно те товары, которые производятся не менее чем двумя и более производителями.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формировании технического задания заказчику в рамках Закона о контрактной системе предоставлены полномочия по самостоятельному определению требований к конкретным показателям товаров, в наибольшей степени удовлетворяющих его потребности, с учётом норм Закона о контрактной системе.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следует отметить, что в техническом задании заказчик не имеет возможности установить требования к техническим характеристикам товара, которые удовлетворяли бы всех возможных производителей, участников размещения заказа, и Закон №44-ФЗ не обязывает заказчика при определении характеристик поставляемого товара устанавливать такие характеристики, которые соответствовали бы всем существующим типам, видам, моделям товара.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пункте 1 Обзора судебной практики применения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(утв. Президиумом Верховного Суда РФ 28.06.2017) разъяснено, что указание заказчиком в аукционной документации особых характеристик товара, которые отвечают его потребностям и необходимы заказчику с учетом специфики использования такого товара, не может рассматриваться как ограничение круга потенциальных участников закупки.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Помимо приведенного заявителем в жалобе товара совокупности характеристик соответствует также лекарственный препарат с ТН ЙОГЕКСОЛ-АЛИУМ, РУ № ЛП- 006705. В инструкции к препарату в разделе «Способ применения и дозы» (страница 4) указано: «Необходимо учитывать, что рентгеноконтрастное средство переносится лучше, если оно нагрето до температуры тела».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мнению заявителя, указанная фраза говорит лишь о химических свойствах действующего вещества, но не является функциональной характеристикой Товара и имеет отношение ко всем лекарственным препаратам МНН: Йогексол.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Однако, данный довод ошибочен, поскольку данная фраза как раз содержится в разделе «Способ применения и дозы», а не в разделе «Физико-химические свойства».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на рынке присутствуют как минимум два производителя товара с характеристиками, соответствующими описанию объекта закупки, что свидетельствует об отсутствии ограничении конкуренции.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Следует отметить, что предметом закупки является поставка товаров, а не его производство. Участником закупки может выступить любое юридическое лицо или индивидуальный предприниматель, готовые поставить товар, отвечающий требованиям документации. Опровергающих доказательств заявителем жалобы не представлено.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86" w:lineRule="auto"/>
        <w:ind w:left="0" w:right="0" w:firstLine="740"/>
        <w:jc w:val="both"/>
        <w:rPr>
          <w:sz w:val="24"/>
          <w:szCs w:val="24"/>
        </w:rPr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1110" w:right="541" w:bottom="584" w:left="1101" w:header="682" w:footer="156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 xml:space="preserve">Таким образом, Комиссия приходит к выводу, что с заказчиком, при описании объекта закупки, соблюдены требования Закона о контрактной системе и Постановления Правительства РФ от 15 ноября 2017 года № 1380 «Об особенностях описания лекарственных препаратов для медицинского применения, являющихся объектом закупки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2023-701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для обеспечения государственных и муниципальных нужд».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Исходя из изложенного, руководствуясь Постановлением Правительства Российской Федерации от 26.08. 2013 №728 «Об определении полномочий федеральных органов исполнительной власти в сфере закупок товаров, работ, услуг для обеспечения государственных и муниципальных нужд и о внесении изменений в некоторые акты Правительства Российской Федерации», частью 8 статьи 106, пунктом 1 части 15 статьи 99 Закона о контрактной системе, административным регламентом (утв. приказом ФАС России от 19.11.2014 №727/14), комиссия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Признать жалобу ООО "МЕДИКЭР</w:t>
      </w:r>
      <w:r>
        <w:rPr>
          <w:color w:val="38383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"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необоснованной.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92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6316980</wp:posOffset>
                </wp:positionH>
                <wp:positionV relativeFrom="paragraph">
                  <wp:posOffset>12700</wp:posOffset>
                </wp:positionV>
                <wp:extent cx="871855" cy="234950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7185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М.Б. Гойгов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497.40000000000003pt;margin-top:1.pt;width:68.650000000000006pt;height:18.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М.Б. Гойгов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</w:t>
      </w:r>
    </w:p>
    <w:p>
      <w:pPr>
        <w:widowControl w:val="0"/>
        <w:spacing w:line="1" w:lineRule="exact"/>
        <w:sectPr>
          <w:footerReference w:type="default" r:id="rId8"/>
          <w:footnotePr>
            <w:pos w:val="pageBottom"/>
            <w:numFmt w:val="decimal"/>
            <w:numRestart w:val="continuous"/>
          </w:footnotePr>
          <w:pgSz w:w="11900" w:h="16840"/>
          <w:pgMar w:top="1110" w:right="546" w:bottom="4649" w:left="1111" w:header="682" w:footer="3" w:gutter="0"/>
          <w:cols w:space="720"/>
          <w:noEndnote/>
          <w:rtlGutter w:val="0"/>
          <w:docGrid w:linePitch="360"/>
        </w:sectPr>
      </w:pPr>
      <w:r>
        <w:drawing>
          <wp:anchor distT="0" distB="0" distL="0" distR="1789430" simplePos="0" relativeHeight="125829380" behindDoc="0" locked="0" layoutInCell="1" allowOverlap="1">
            <wp:simplePos x="0" y="0"/>
            <wp:positionH relativeFrom="page">
              <wp:posOffset>2656205</wp:posOffset>
            </wp:positionH>
            <wp:positionV relativeFrom="paragraph">
              <wp:posOffset>0</wp:posOffset>
            </wp:positionV>
            <wp:extent cx="353695" cy="402590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3695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91440</wp:posOffset>
                </wp:positionV>
                <wp:extent cx="1725295" cy="25590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42.05000000000001pt;margin-top:7.2000000000000002pt;width:135.84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3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3800" w:right="0" w:firstLine="0"/>
        <w:jc w:val="left"/>
        <w:rPr>
          <w:sz w:val="12"/>
          <w:szCs w:val="12"/>
        </w:rPr>
      </w:pPr>
      <w:r>
        <w:rPr>
          <w:color w:val="FFFFFF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3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Гойгов Микаил Багаудинович</w:t>
      </w:r>
    </w:p>
    <w:p>
      <w:pPr>
        <w:pStyle w:val="Style3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00Е96ОВЕЗОСА983А8012С56Е66ЮАЕ6С6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</w:p>
    <w:p>
      <w:pPr>
        <w:pStyle w:val="Style3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right="0" w:firstLine="0"/>
        <w:jc w:val="left"/>
      </w:pP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16.06.2022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>09.09.2023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0" w:right="0" w:firstLine="0"/>
        <w:jc w:val="right"/>
      </w:pPr>
      <w:r>
        <w:drawing>
          <wp:anchor distT="0" distB="0" distL="114300" distR="1903730" simplePos="0" relativeHeight="125829381" behindDoc="0" locked="0" layoutInCell="1" allowOverlap="1">
            <wp:simplePos x="0" y="0"/>
            <wp:positionH relativeFrom="page">
              <wp:posOffset>2656205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3119755</wp:posOffset>
                </wp:positionH>
                <wp:positionV relativeFrom="paragraph">
                  <wp:posOffset>466090</wp:posOffset>
                </wp:positionV>
                <wp:extent cx="1283335" cy="103505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E1E1E1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</w:t>
                            </w: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СЕРТИФИКАТЕ </w:t>
                            </w:r>
                            <w:r>
                              <w:rPr>
                                <w:color w:val="E1E1E1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45.65000000000001pt;margin-top:36.700000000000003pt;width:101.05pt;height:8.15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E1E1E1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СВЕДЕНИЯ О </w:t>
                      </w: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СЕРТИФИКАТЕ </w:t>
                      </w:r>
                      <w:r>
                        <w:rPr>
                          <w:color w:val="E1E1E1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154940</wp:posOffset>
                </wp:positionV>
                <wp:extent cx="1725295" cy="25590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42.05000000000001pt;margin-top:12.200000000000001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И.С.Китаева</w:t>
      </w:r>
    </w:p>
    <w:p>
      <w:pPr>
        <w:pStyle w:val="Style3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Китаева Ирина Сергеевна</w:t>
      </w:r>
    </w:p>
    <w:p>
      <w:pPr>
        <w:pStyle w:val="Style3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000040326ЕЕ12Е30790838ЕЕОЕЭВ6А002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:</w:t>
      </w:r>
    </w:p>
    <w:p>
      <w:pPr>
        <w:pStyle w:val="Style35"/>
        <w:keepNext w:val="0"/>
        <w:keepLines w:val="0"/>
        <w:widowControl w:val="0"/>
        <w:shd w:val="clear" w:color="auto" w:fill="auto"/>
        <w:bidi w:val="0"/>
        <w:spacing w:before="0" w:after="720" w:line="240" w:lineRule="auto"/>
        <w:ind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6252845</wp:posOffset>
                </wp:positionH>
                <wp:positionV relativeFrom="paragraph">
                  <wp:posOffset>381000</wp:posOffset>
                </wp:positionV>
                <wp:extent cx="938530" cy="234950"/>
                <wp:wrapSquare wrapText="left"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3853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В.В. Уварова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92.35000000000002pt;margin-top:30.pt;width:73.900000000000006pt;height:18.5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В.В. Уварова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06.09.2022 по </w:t>
      </w: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>30.11.2023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90" w:line="240" w:lineRule="auto"/>
        <w:ind w:left="374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3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3800" w:right="0" w:firstLine="0"/>
        <w:jc w:val="left"/>
        <w:rPr>
          <w:sz w:val="12"/>
          <w:szCs w:val="12"/>
        </w:rPr>
      </w:pPr>
      <w:r>
        <w:rPr>
          <w:color w:val="FFFFFF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3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Виктория Васильевна Уварова</w:t>
      </w:r>
    </w:p>
    <w:p>
      <w:pPr>
        <w:pStyle w:val="Style3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008С38Е05Е4В81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ВЕЕЭЕ92845653ЕЕ51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>08С</w:t>
      </w:r>
    </w:p>
    <w:p>
      <w:pPr>
        <w:pStyle w:val="Style3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right="0" w:firstLine="0"/>
        <w:jc w:val="left"/>
      </w:pP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10.03.2022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>03.06.2023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46" w:bottom="1110" w:left="111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10027285</wp:posOffset>
              </wp:positionV>
              <wp:extent cx="560705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070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2023-701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850000000000001pt;margin-top:789.55000000000007pt;width:44.14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2023-701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560705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070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2023-701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44.14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2023-701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10027285</wp:posOffset>
              </wp:positionV>
              <wp:extent cx="560705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070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2023-701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6.850000000000001pt;margin-top:789.55000000000007pt;width:44.149999999999999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2023-701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*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6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2"/>
      <w:sz w:val="134"/>
      <w:szCs w:val="134"/>
      <w:u w:val="single"/>
    </w:rPr>
  </w:style>
  <w:style w:type="character" w:customStyle="1" w:styleId="CharStyle5">
    <w:name w:val="Колонтитул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Основной текст (3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2"/>
      <w:sz w:val="16"/>
      <w:szCs w:val="16"/>
      <w:u w:val="none"/>
    </w:rPr>
  </w:style>
  <w:style w:type="character" w:customStyle="1" w:styleId="CharStyle11">
    <w:name w:val="Основной текст (5)_"/>
    <w:basedOn w:val="DefaultParagraphFont"/>
    <w:link w:val="Style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2"/>
      <w:sz w:val="19"/>
      <w:szCs w:val="19"/>
      <w:u w:val="none"/>
    </w:rPr>
  </w:style>
  <w:style w:type="character" w:customStyle="1" w:styleId="CharStyle13">
    <w:name w:val="Заголовок №2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7">
    <w:name w:val="Основной текст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0">
    <w:name w:val="Заголовок №1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character" w:customStyle="1" w:styleId="CharStyle24">
    <w:name w:val="Подпись к таблице_"/>
    <w:basedOn w:val="DefaultParagraphFont"/>
    <w:link w:val="Style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single"/>
    </w:rPr>
  </w:style>
  <w:style w:type="character" w:customStyle="1" w:styleId="CharStyle26">
    <w:name w:val="Другое_"/>
    <w:basedOn w:val="DefaultParagraphFont"/>
    <w:link w:val="Style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9">
    <w:name w:val="Подпись к картинке_"/>
    <w:basedOn w:val="DefaultParagraphFont"/>
    <w:link w:val="Style2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52525"/>
      <w:sz w:val="11"/>
      <w:szCs w:val="11"/>
      <w:u w:val="none"/>
    </w:rPr>
  </w:style>
  <w:style w:type="character" w:customStyle="1" w:styleId="CharStyle33">
    <w:name w:val="Основной текст (4)_"/>
    <w:basedOn w:val="DefaultParagraphFont"/>
    <w:link w:val="Style3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52525"/>
      <w:sz w:val="11"/>
      <w:szCs w:val="11"/>
      <w:u w:val="none"/>
    </w:rPr>
  </w:style>
  <w:style w:type="character" w:customStyle="1" w:styleId="CharStyle36">
    <w:name w:val="Основной текст (2)_"/>
    <w:basedOn w:val="DefaultParagraphFont"/>
    <w:link w:val="Style35"/>
    <w:rPr>
      <w:rFonts w:ascii="Arial" w:eastAsia="Arial" w:hAnsi="Arial" w:cs="Arial"/>
      <w:b w:val="0"/>
      <w:bCs w:val="0"/>
      <w:i w:val="0"/>
      <w:iCs w:val="0"/>
      <w:smallCaps w:val="0"/>
      <w:strike w:val="0"/>
      <w:color w:val="383838"/>
      <w:sz w:val="12"/>
      <w:szCs w:val="12"/>
      <w:u w:val="none"/>
    </w:rPr>
  </w:style>
  <w:style w:type="paragraph" w:customStyle="1" w:styleId="Style2">
    <w:name w:val="Основной текст (6)"/>
    <w:basedOn w:val="Normal"/>
    <w:link w:val="CharStyle3"/>
    <w:pPr>
      <w:widowControl w:val="0"/>
      <w:shd w:val="clear" w:color="auto" w:fill="auto"/>
      <w:spacing w:after="6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2"/>
      <w:sz w:val="134"/>
      <w:szCs w:val="134"/>
      <w:u w:val="single"/>
    </w:rPr>
  </w:style>
  <w:style w:type="paragraph" w:customStyle="1" w:styleId="Style4">
    <w:name w:val="Колонтитул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auto"/>
      <w:spacing w:after="30" w:line="28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2"/>
      <w:sz w:val="16"/>
      <w:szCs w:val="16"/>
      <w:u w:val="none"/>
    </w:rPr>
  </w:style>
  <w:style w:type="paragraph" w:customStyle="1" w:styleId="Style10">
    <w:name w:val="Основной текст (5)"/>
    <w:basedOn w:val="Normal"/>
    <w:link w:val="CharStyle11"/>
    <w:pPr>
      <w:widowControl w:val="0"/>
      <w:shd w:val="clear" w:color="auto" w:fill="auto"/>
      <w:spacing w:after="20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2"/>
      <w:sz w:val="19"/>
      <w:szCs w:val="19"/>
      <w:u w:val="none"/>
    </w:rPr>
  </w:style>
  <w:style w:type="paragraph" w:customStyle="1" w:styleId="Style12">
    <w:name w:val="Заголовок №2"/>
    <w:basedOn w:val="Normal"/>
    <w:link w:val="CharStyle13"/>
    <w:pPr>
      <w:widowControl w:val="0"/>
      <w:shd w:val="clear" w:color="auto" w:fill="auto"/>
      <w:spacing w:after="32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6">
    <w:name w:val="Основной текст"/>
    <w:basedOn w:val="Normal"/>
    <w:link w:val="CharStyle1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9">
    <w:name w:val="Заголовок №1"/>
    <w:basedOn w:val="Normal"/>
    <w:link w:val="CharStyle20"/>
    <w:pPr>
      <w:widowControl w:val="0"/>
      <w:shd w:val="clear" w:color="auto" w:fill="auto"/>
      <w:spacing w:after="50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paragraph" w:customStyle="1" w:styleId="Style23">
    <w:name w:val="Подпись к таблице"/>
    <w:basedOn w:val="Normal"/>
    <w:link w:val="CharStyle2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single"/>
    </w:rPr>
  </w:style>
  <w:style w:type="paragraph" w:customStyle="1" w:styleId="Style25">
    <w:name w:val="Другое"/>
    <w:basedOn w:val="Normal"/>
    <w:link w:val="CharStyle26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8">
    <w:name w:val="Подпись к картинке"/>
    <w:basedOn w:val="Normal"/>
    <w:link w:val="CharStyle29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52525"/>
      <w:sz w:val="11"/>
      <w:szCs w:val="11"/>
      <w:u w:val="none"/>
    </w:rPr>
  </w:style>
  <w:style w:type="paragraph" w:customStyle="1" w:styleId="Style32">
    <w:name w:val="Основной текст (4)"/>
    <w:basedOn w:val="Normal"/>
    <w:link w:val="CharStyle33"/>
    <w:pPr>
      <w:widowControl w:val="0"/>
      <w:shd w:val="clear" w:color="auto" w:fill="auto"/>
      <w:spacing w:after="100"/>
      <w:ind w:left="377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52525"/>
      <w:sz w:val="11"/>
      <w:szCs w:val="11"/>
      <w:u w:val="none"/>
    </w:rPr>
  </w:style>
  <w:style w:type="paragraph" w:customStyle="1" w:styleId="Style35">
    <w:name w:val="Основной текст (2)"/>
    <w:basedOn w:val="Normal"/>
    <w:link w:val="CharStyle36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383838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oter" Target="footer4.xml"/><Relationship Id="rId9" Type="http://schemas.openxmlformats.org/officeDocument/2006/relationships/image" Target="media/image1.jpeg"/><Relationship Id="rId10" Type="http://schemas.openxmlformats.org/officeDocument/2006/relationships/image" Target="media/image1.jpeg" TargetMode="Externa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/Relationships>
</file>