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83" w:lineRule="auto"/>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7"/>
        <w:keepNext w:val="0"/>
        <w:keepLines w:val="0"/>
        <w:widowControl w:val="0"/>
        <w:shd w:val="clear" w:color="auto" w:fill="auto"/>
        <w:bidi w:val="0"/>
        <w:spacing w:before="0" w:line="283"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Калужской области</w:t>
      </w:r>
    </w:p>
    <w:p>
      <w:pPr>
        <w:pStyle w:val="Style7"/>
        <w:keepNext w:val="0"/>
        <w:keepLines w:val="0"/>
        <w:widowControl w:val="0"/>
        <w:shd w:val="clear" w:color="auto" w:fill="auto"/>
        <w:bidi w:val="0"/>
        <w:spacing w:before="0" w:after="0" w:line="307" w:lineRule="auto"/>
        <w:ind w:left="0" w:right="0" w:firstLine="0"/>
        <w:jc w:val="center"/>
      </w:pPr>
      <w:r>
        <w:rPr>
          <w:spacing w:val="0"/>
          <w:w w:val="100"/>
          <w:position w:val="0"/>
          <w:shd w:val="clear" w:color="auto" w:fill="auto"/>
          <w:lang w:val="ru-RU" w:eastAsia="ru-RU" w:bidi="ru-RU"/>
        </w:rPr>
        <w:t>пл. Старый Торг, 5, г. Калуга, 248000</w:t>
        <w:br/>
        <w:t>тел. (4842) 57-65-92, факс (4828) 57-65-92</w:t>
      </w:r>
    </w:p>
    <w:p>
      <w:pPr>
        <w:pStyle w:val="Style7"/>
        <w:keepNext w:val="0"/>
        <w:keepLines w:val="0"/>
        <w:widowControl w:val="0"/>
        <w:shd w:val="clear" w:color="auto" w:fill="auto"/>
        <w:bidi w:val="0"/>
        <w:spacing w:before="0" w:after="200" w:line="307" w:lineRule="auto"/>
        <w:ind w:left="0" w:right="0" w:firstLine="0"/>
        <w:jc w:val="center"/>
      </w:pPr>
      <w:r>
        <w:rPr>
          <w:spacing w:val="0"/>
          <w:w w:val="100"/>
          <w:position w:val="0"/>
          <w:shd w:val="clear" w:color="auto" w:fill="auto"/>
          <w:lang w:val="ru-RU" w:eastAsia="ru-RU" w:bidi="ru-RU"/>
        </w:rPr>
        <w:t>е-тай: 1о40@Га8.§оу.ги</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МЧ/1872/2</w:t>
      </w:r>
      <w:r>
        <w:rPr>
          <w:color w:val="000000"/>
          <w:spacing w:val="0"/>
          <w:w w:val="100"/>
          <w:position w:val="0"/>
          <w:u w:val="none"/>
          <w:shd w:val="clear" w:color="auto" w:fill="auto"/>
          <w:lang w:val="ru-RU" w:eastAsia="ru-RU" w:bidi="ru-RU"/>
        </w:rPr>
        <w:t>3</w:t>
      </w:r>
      <w:bookmarkEnd w:id="0"/>
    </w:p>
    <w:p>
      <w:pPr>
        <w:pStyle w:val="Style13"/>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АО «Сбербанк-АСТ»</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пер. Большой Саввинский, д.12, стр.9, г.Москва, 119435</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ко@8ЪегЪапк-а81.ги</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ООО «Гарантстрой»</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Садовая, д.68, к.1, кв.8, г.Саров, Нижегородская обл., 607185</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8оргЛепдега@уапдех.ги</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МКУ «Управление капитального строительства города Калуги» ул. Космонавта Комарова, д.36, г.Калуга, 248000</w:t>
      </w:r>
    </w:p>
    <w:p>
      <w:pPr>
        <w:pStyle w:val="Style15"/>
        <w:keepNext w:val="0"/>
        <w:keepLines w:val="0"/>
        <w:widowControl w:val="0"/>
        <w:shd w:val="clear" w:color="auto" w:fill="auto"/>
        <w:bidi w:val="0"/>
        <w:spacing w:before="0" w:after="28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1&lt;ар81гоу@ка1ида-до\\П1;и1&lt;8@1&lt;а1ида- до\лт1;1ео1и)\лд1@1&lt;а1ида-до\л'и;</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Министерство конкурентной политики Калужской области</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ул. Плеханова, д. 45, г. Калуга, 248001</w:t>
      </w:r>
    </w:p>
    <w:p>
      <w:pPr>
        <w:pStyle w:val="Style15"/>
        <w:keepNext w:val="0"/>
        <w:keepLines w:val="0"/>
        <w:widowControl w:val="0"/>
        <w:shd w:val="clear" w:color="auto" w:fill="auto"/>
        <w:bidi w:val="0"/>
        <w:spacing w:before="0" w:after="0" w:line="240" w:lineRule="auto"/>
        <w:ind w:left="0" w:right="0" w:firstLine="0"/>
        <w:jc w:val="left"/>
        <w:rPr>
          <w:sz w:val="28"/>
          <w:szCs w:val="28"/>
        </w:rPr>
        <w:sectPr>
          <w:footerReference w:type="default" r:id="rId5"/>
          <w:footerReference w:type="first" r:id="rId6"/>
          <w:footnotePr>
            <w:pos w:val="pageBottom"/>
            <w:numFmt w:val="decimal"/>
            <w:numRestart w:val="continuous"/>
          </w:footnotePr>
          <w:pgSz w:w="11900" w:h="16840"/>
          <w:pgMar w:top="63" w:right="786" w:bottom="1231" w:left="1140" w:header="0" w:footer="3" w:gutter="0"/>
          <w:pgNumType w:start="1"/>
          <w:cols w:num="2" w:space="720" w:equalWidth="0">
            <w:col w:w="4238" w:space="1027"/>
            <w:col w:w="4709"/>
          </w:cols>
          <w:noEndnote/>
          <w:titlePg/>
          <w:rtlGutter w:val="0"/>
          <w:docGrid w:linePitch="360"/>
        </w:sectPr>
      </w:pPr>
      <w:r>
        <w:rPr>
          <w:color w:val="000000"/>
          <w:spacing w:val="0"/>
          <w:w w:val="100"/>
          <w:position w:val="0"/>
          <w:sz w:val="28"/>
          <w:szCs w:val="28"/>
          <w:shd w:val="clear" w:color="auto" w:fill="auto"/>
          <w:lang w:val="ru-RU" w:eastAsia="ru-RU" w:bidi="ru-RU"/>
        </w:rPr>
        <w:t>тт-к-ро1Шк@адт.ка1ида.ги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1" w:right="0" w:bottom="1174" w:left="0" w:header="0" w:footer="3" w:gutter="0"/>
          <w:cols w:space="720"/>
          <w:noEndnote/>
          <w:rtlGutter w:val="0"/>
          <w:docGrid w:linePitch="360"/>
        </w:sectPr>
      </w:pP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Е Н И Е</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Комиссии по контролю в сфере закупок товаров, работ, услуг для обеспечения</w:t>
        <w:br/>
        <w:t>государственных и муниципальных нужд Калужского УФАС России</w:t>
      </w:r>
    </w:p>
    <w:p>
      <w:pPr>
        <w:pStyle w:val="Style15"/>
        <w:keepNext w:val="0"/>
        <w:keepLines w:val="0"/>
        <w:widowControl w:val="0"/>
        <w:shd w:val="clear" w:color="auto" w:fill="auto"/>
        <w:tabs>
          <w:tab w:pos="7526" w:val="left"/>
        </w:tabs>
        <w:bidi w:val="0"/>
        <w:spacing w:before="0" w:after="260" w:line="240" w:lineRule="auto"/>
        <w:ind w:left="0" w:right="0" w:firstLine="0"/>
        <w:jc w:val="center"/>
      </w:pPr>
      <w:r>
        <w:rPr>
          <w:color w:val="000000"/>
          <w:spacing w:val="0"/>
          <w:w w:val="100"/>
          <w:position w:val="0"/>
          <w:shd w:val="clear" w:color="auto" w:fill="auto"/>
          <w:lang w:val="ru-RU" w:eastAsia="ru-RU" w:bidi="ru-RU"/>
        </w:rPr>
        <w:t>г. Калуга</w:t>
        <w:tab/>
        <w:t>«03» мая 2023 года</w:t>
      </w:r>
    </w:p>
    <w:p>
      <w:pPr>
        <w:pStyle w:val="Style15"/>
        <w:keepNext w:val="0"/>
        <w:keepLines w:val="0"/>
        <w:widowControl w:val="0"/>
        <w:shd w:val="clear" w:color="auto" w:fill="auto"/>
        <w:bidi w:val="0"/>
        <w:spacing w:before="0" w:after="0" w:line="240" w:lineRule="auto"/>
        <w:ind w:left="1880" w:right="0" w:firstLine="0"/>
        <w:jc w:val="left"/>
      </w:pPr>
      <w:r>
        <w:rPr>
          <w:color w:val="000000"/>
          <w:spacing w:val="0"/>
          <w:w w:val="100"/>
          <w:position w:val="0"/>
          <w:shd w:val="clear" w:color="auto" w:fill="auto"/>
          <w:lang w:val="ru-RU" w:eastAsia="ru-RU" w:bidi="ru-RU"/>
        </w:rPr>
        <w:t>Резолютивная часть решения оглашена «27» апреля 2023 года.</w:t>
      </w:r>
    </w:p>
    <w:p>
      <w:pPr>
        <w:pStyle w:val="Style15"/>
        <w:keepNext w:val="0"/>
        <w:keepLines w:val="0"/>
        <w:widowControl w:val="0"/>
        <w:shd w:val="clear" w:color="auto" w:fill="auto"/>
        <w:bidi w:val="0"/>
        <w:spacing w:before="0" w:after="260" w:line="240" w:lineRule="auto"/>
        <w:ind w:left="2060" w:right="0" w:firstLine="0"/>
        <w:jc w:val="left"/>
      </w:pPr>
      <w:r>
        <w:rPr>
          <w:color w:val="000000"/>
          <w:spacing w:val="0"/>
          <w:w w:val="100"/>
          <w:position w:val="0"/>
          <w:shd w:val="clear" w:color="auto" w:fill="auto"/>
          <w:lang w:val="ru-RU" w:eastAsia="ru-RU" w:bidi="ru-RU"/>
        </w:rPr>
        <w:t>В полном объеме решение изготовлено «03» мая 2023 года.</w:t>
      </w:r>
    </w:p>
    <w:p>
      <w:pPr>
        <w:pStyle w:val="Style15"/>
        <w:keepNext w:val="0"/>
        <w:keepLines w:val="0"/>
        <w:widowControl w:val="0"/>
        <w:shd w:val="clear" w:color="auto" w:fill="auto"/>
        <w:bidi w:val="0"/>
        <w:spacing w:before="0" w:after="360" w:line="240" w:lineRule="auto"/>
        <w:ind w:left="0" w:right="0" w:firstLine="560"/>
        <w:jc w:val="left"/>
      </w:pPr>
      <w:r>
        <w:rPr>
          <w:color w:val="000000"/>
          <w:spacing w:val="0"/>
          <w:w w:val="100"/>
          <w:position w:val="0"/>
          <w:shd w:val="clear" w:color="auto" w:fill="auto"/>
          <w:lang w:val="ru-RU" w:eastAsia="ru-RU" w:bidi="ru-RU"/>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5"/>
        <w:keepNext w:val="0"/>
        <w:keepLines w:val="0"/>
        <w:widowControl w:val="0"/>
        <w:numPr>
          <w:ilvl w:val="0"/>
          <w:numId w:val="1"/>
        </w:numPr>
        <w:shd w:val="clear" w:color="auto" w:fill="auto"/>
        <w:tabs>
          <w:tab w:pos="272" w:val="left"/>
        </w:tabs>
        <w:bidi w:val="0"/>
        <w:spacing w:before="0" w:after="80" w:line="240" w:lineRule="auto"/>
        <w:ind w:left="0" w:right="0" w:firstLine="0"/>
        <w:jc w:val="left"/>
      </w:pPr>
      <w:r>
        <mc:AlternateContent>
          <mc:Choice Requires="wps">
            <w:drawing>
              <wp:anchor distT="0" distB="0" distL="190500" distR="190500" simplePos="0" relativeHeight="125829378" behindDoc="0" locked="0" layoutInCell="1" allowOverlap="1">
                <wp:simplePos x="0" y="0"/>
                <wp:positionH relativeFrom="page">
                  <wp:posOffset>989330</wp:posOffset>
                </wp:positionH>
                <wp:positionV relativeFrom="paragraph">
                  <wp:posOffset>12700</wp:posOffset>
                </wp:positionV>
                <wp:extent cx="1048385" cy="956945"/>
                <wp:wrapSquare wrapText="right"/>
                <wp:docPr id="5" name="Shape 5"/>
                <a:graphic xmlns:a="http://schemas.openxmlformats.org/drawingml/2006/main">
                  <a:graphicData uri="http://schemas.microsoft.com/office/word/2010/wordprocessingShape">
                    <wps:wsp>
                      <wps:cNvSpPr txBox="1"/>
                      <wps:spPr>
                        <a:xfrm>
                          <a:ext cx="1048385" cy="956945"/>
                        </a:xfrm>
                        <a:prstGeom prst="rect"/>
                        <a:noFill/>
                      </wps:spPr>
                      <wps:txbx>
                        <w:txbxContent>
                          <w:p>
                            <w:pPr>
                              <w:pStyle w:val="Style15"/>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Чуриков М.А.</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Дорогова О.А.</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Васильев А.А.</w:t>
                            </w:r>
                          </w:p>
                        </w:txbxContent>
                      </wps:txbx>
                      <wps:bodyPr lIns="0" tIns="0" rIns="0" bIns="0">
                        <a:noAutoFit/>
                      </wps:bodyPr>
                    </wps:wsp>
                  </a:graphicData>
                </a:graphic>
              </wp:anchor>
            </w:drawing>
          </mc:Choice>
          <mc:Fallback>
            <w:pict>
              <v:shape id="_x0000_s1031" type="#_x0000_t202" style="position:absolute;margin-left:77.900000000000006pt;margin-top:1.pt;width:82.549999999999997pt;height:75.350000000000009pt;z-index:-125829375;mso-wrap-distance-left:15.pt;mso-wrap-distance-right:15.pt;mso-position-horizontal-relative:page" filled="f" stroked="f">
                <v:textbox inset="0,0,0,0">
                  <w:txbxContent>
                    <w:p>
                      <w:pPr>
                        <w:pStyle w:val="Style15"/>
                        <w:keepNext w:val="0"/>
                        <w:keepLines w:val="0"/>
                        <w:widowControl w:val="0"/>
                        <w:shd w:val="clear" w:color="auto" w:fill="auto"/>
                        <w:bidi w:val="0"/>
                        <w:spacing w:before="0" w:after="380" w:line="240" w:lineRule="auto"/>
                        <w:ind w:left="0" w:right="0" w:firstLine="0"/>
                        <w:jc w:val="left"/>
                      </w:pPr>
                      <w:r>
                        <w:rPr>
                          <w:color w:val="000000"/>
                          <w:spacing w:val="0"/>
                          <w:w w:val="100"/>
                          <w:position w:val="0"/>
                          <w:shd w:val="clear" w:color="auto" w:fill="auto"/>
                          <w:lang w:val="ru-RU" w:eastAsia="ru-RU" w:bidi="ru-RU"/>
                        </w:rPr>
                        <w:t>Чуриков М.А.</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Дорогова О.А.</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Васильев А.А.</w:t>
                      </w:r>
                    </w:p>
                  </w:txbxContent>
                </v:textbox>
                <w10:wrap type="square" side="right" anchorx="page"/>
              </v:shape>
            </w:pict>
          </mc:Fallback>
        </mc:AlternateContent>
      </w:r>
      <w:r>
        <w:rPr>
          <w:color w:val="000000"/>
          <w:spacing w:val="0"/>
          <w:w w:val="100"/>
          <w:position w:val="0"/>
          <w:shd w:val="clear" w:color="auto" w:fill="auto"/>
          <w:lang w:val="ru-RU" w:eastAsia="ru-RU" w:bidi="ru-RU"/>
        </w:rPr>
        <w:t>член комиссии, заместитель руководителя-начальник отдела Калужского УФАС России;</w:t>
      </w:r>
    </w:p>
    <w:p>
      <w:pPr>
        <w:pStyle w:val="Style15"/>
        <w:keepNext w:val="0"/>
        <w:keepLines w:val="0"/>
        <w:widowControl w:val="0"/>
        <w:numPr>
          <w:ilvl w:val="0"/>
          <w:numId w:val="1"/>
        </w:numPr>
        <w:shd w:val="clear" w:color="auto" w:fill="auto"/>
        <w:tabs>
          <w:tab w:pos="267" w:val="left"/>
        </w:tabs>
        <w:bidi w:val="0"/>
        <w:spacing w:before="0" w:after="80" w:line="240" w:lineRule="auto"/>
        <w:ind w:left="0" w:right="0" w:firstLine="0"/>
        <w:jc w:val="left"/>
      </w:pPr>
      <w:r>
        <w:rPr>
          <w:color w:val="000000"/>
          <w:spacing w:val="0"/>
          <w:w w:val="100"/>
          <w:position w:val="0"/>
          <w:shd w:val="clear" w:color="auto" w:fill="auto"/>
          <w:lang w:val="ru-RU" w:eastAsia="ru-RU" w:bidi="ru-RU"/>
        </w:rPr>
        <w:t>член комиссии, специалист - эксперт Калужского УФАС России;</w:t>
      </w:r>
    </w:p>
    <w:p>
      <w:pPr>
        <w:pStyle w:val="Style15"/>
        <w:keepNext w:val="0"/>
        <w:keepLines w:val="0"/>
        <w:widowControl w:val="0"/>
        <w:numPr>
          <w:ilvl w:val="0"/>
          <w:numId w:val="1"/>
        </w:numPr>
        <w:shd w:val="clear" w:color="auto" w:fill="auto"/>
        <w:tabs>
          <w:tab w:pos="267" w:val="left"/>
        </w:tabs>
        <w:bidi w:val="0"/>
        <w:spacing w:before="0" w:after="360" w:line="240" w:lineRule="auto"/>
        <w:ind w:left="0" w:right="0" w:firstLine="0"/>
        <w:jc w:val="left"/>
      </w:pPr>
      <w:r>
        <w:rPr>
          <w:color w:val="000000"/>
          <w:spacing w:val="0"/>
          <w:w w:val="100"/>
          <w:position w:val="0"/>
          <w:shd w:val="clear" w:color="auto" w:fill="auto"/>
          <w:lang w:val="ru-RU" w:eastAsia="ru-RU" w:bidi="ru-RU"/>
        </w:rPr>
        <w:t>член комиссии, главный специалист - эксперт Калужского</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5"/>
        <w:keepNext w:val="0"/>
        <w:keepLines w:val="0"/>
        <w:widowControl w:val="0"/>
        <w:shd w:val="clear" w:color="auto" w:fill="auto"/>
        <w:bidi w:val="0"/>
        <w:spacing w:before="0" w:after="260" w:line="240" w:lineRule="auto"/>
        <w:ind w:left="2460" w:right="0" w:firstLine="0"/>
        <w:jc w:val="both"/>
      </w:pPr>
      <w:r>
        <w:rPr>
          <w:color w:val="000000"/>
          <w:spacing w:val="0"/>
          <w:w w:val="100"/>
          <w:position w:val="0"/>
          <w:shd w:val="clear" w:color="auto" w:fill="auto"/>
          <w:lang w:val="ru-RU" w:eastAsia="ru-RU" w:bidi="ru-RU"/>
        </w:rPr>
        <w:t>УФАС России;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представителя заказчика - МКУ «Управление капитального строительства города Калуги» города Калуги Пономаревой Е.В. (доверенность, паспорт), представителя уполномоченного органа - Министерства конкурентной политики Калужской области Полубоярцева П.В. (доверенность, паспорт), представителя заявителя - ООО «Гарантстрой» Гераськина В.С. (доверенность, паспорт),</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рассмотрев посредством видеоконференцсвязи жалобу №040/06/105-297/2023 ООО «Гарантстрой» по существу, </w:t>
      </w:r>
      <w:r>
        <w:rPr>
          <w:b/>
          <w:bCs/>
          <w:color w:val="000000"/>
          <w:spacing w:val="0"/>
          <w:w w:val="100"/>
          <w:position w:val="0"/>
          <w:shd w:val="clear" w:color="auto" w:fill="auto"/>
          <w:lang w:val="ru-RU" w:eastAsia="ru-RU" w:bidi="ru-RU"/>
        </w:rPr>
        <w:t>установила</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21.04.2023г. в адрес Калужского УФАС России поступила жалоба ООО «Гарантстрой» на действия комиссии уполномоченного органа - Министерства конкурентной политики Калужской области при проведении открытого аукциона в электронной форме (номер извещения на официальном сайте 0137200001223001266), предметом которого является выполнение работ по капитальному ремонту кровли здания муниципального бюджетного учреждения культуры «Городской досуговый центр», расположенного по адресу: г. Калуга, ул. Пухова, д.52.</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полагает, что комиссия уполномоченного органа - Министерства конкурентной политики Калужской области в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отклонила заявку ООО «Гарантстрой».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Изучив представленные документы, с учетом доводов сторон, руководствуясь Федеральным законом от 05.04.2013 № 44-ФЗ, проведя внеплановую проверку в соответствии с пунктом 1 части 15 статьи 99 Федерального закона от 05.04.2013 № 44-ФЗ, Комиссия Калужского УФАС России приходит к следующему.</w:t>
      </w:r>
    </w:p>
    <w:p>
      <w:pPr>
        <w:pStyle w:val="Style15"/>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1</w:t>
      </w:r>
      <w:r>
        <w:rPr>
          <w:color w:val="000000"/>
          <w:spacing w:val="0"/>
          <w:w w:val="100"/>
          <w:position w:val="0"/>
          <w:shd w:val="clear" w:color="auto" w:fill="auto"/>
          <w:lang w:val="ru-RU" w:eastAsia="ru-RU" w:bidi="ru-RU"/>
        </w:rPr>
        <w:t>. 06.04.2023г. в Единой информационной системе в сфере закупок (</w:t>
      </w:r>
      <w:r>
        <w:fldChar w:fldCharType="begin"/>
      </w:r>
      <w:r>
        <w:rPr/>
        <w:instrText> HYPERLINK "http://www.zakupki.gov.ru/" </w:instrText>
      </w:r>
      <w:r>
        <w:fldChar w:fldCharType="separate"/>
      </w:r>
      <w:r>
        <w:rPr>
          <w:color w:val="000080"/>
          <w:spacing w:val="0"/>
          <w:w w:val="100"/>
          <w:position w:val="0"/>
          <w:u w:val="single"/>
          <w:shd w:val="clear" w:color="auto" w:fill="auto"/>
          <w:lang w:val="ru-RU" w:eastAsia="ru-RU" w:bidi="ru-RU"/>
        </w:rPr>
        <w:t>\у\у\у./акирк1.доу.1'и</w:t>
      </w:r>
      <w:r>
        <w:fldChar w:fldCharType="end"/>
      </w:r>
      <w:r>
        <w:rPr>
          <w:color w:val="000000"/>
          <w:spacing w:val="0"/>
          <w:w w:val="100"/>
          <w:position w:val="0"/>
          <w:shd w:val="clear" w:color="auto" w:fill="auto"/>
          <w:lang w:val="ru-RU" w:eastAsia="ru-RU" w:bidi="ru-RU"/>
        </w:rPr>
        <w:t>; далее также официальный сайт) опубликовано извещение №0137200001223001266), предметом которого предметом которого является выполнение работ по капитальному ремонту кровли здания муниципального бюджетного учреждения культуры «Городской досуговый центр», расположенного по адресу: г. Калуга, ул. Пухова, д.52 (далее - Аукцион).</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Начальная (максимальная) цена контракта, согласно извещению о проведении аукциона, составляла </w:t>
      </w:r>
      <w:r>
        <w:rPr>
          <w:color w:val="334059"/>
          <w:spacing w:val="0"/>
          <w:w w:val="100"/>
          <w:position w:val="0"/>
          <w:shd w:val="clear" w:color="auto" w:fill="auto"/>
          <w:lang w:val="ru-RU" w:eastAsia="ru-RU" w:bidi="ru-RU"/>
        </w:rPr>
        <w:t xml:space="preserve">17 916 786,77 </w:t>
      </w:r>
      <w:r>
        <w:rPr>
          <w:color w:val="000000"/>
          <w:spacing w:val="0"/>
          <w:w w:val="100"/>
          <w:position w:val="0"/>
          <w:shd w:val="clear" w:color="auto" w:fill="auto"/>
          <w:lang w:val="ru-RU" w:eastAsia="ru-RU" w:bidi="ru-RU"/>
        </w:rPr>
        <w:t>рублей.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Заказчиком по указанному аукциону выступало </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МКУ «Управление капитального строительства города Калуги».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протоколом подачи ценовых предложений от 14.04.2023 №ЦПА1, на участие в аукционе поступило 14 заявок.</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18.04.2023 №ИЭА1, заявка ООО «Гарантстрой» была отклонена на основании п.1 ч.12 ст.48 Закона 44-ФЗ - непредставления информации и документов, предусмотренных извещением, несоответствия таких информации и документов: заявка на участие в закупке признается не соответствующей извещению об осуществлении закупки, поскольку не представлены документы, подтверждающие соответствие участника закупки требованиям, установленным в соответствии с п.1 ч.1 ст. 31 Федерального закона от 05.04.2013 № 44-ФЗ, а именно: отсутствуют сведения из единого реестра о членах саморегулируемых организаций в области инженерных изысканий, архитектурно</w:t>
        <w:softHyphen/>
        <w:t xml:space="preserve">строительного проектирования, строительства, реконструкции, капитального ремонта, сноса объектов капитального строительства и их обязательствах (далее - Единый реестр) в </w:t>
      </w:r>
      <w:r>
        <w:rPr>
          <w:color w:val="000000"/>
          <w:spacing w:val="0"/>
          <w:w w:val="100"/>
          <w:position w:val="0"/>
          <w:shd w:val="clear" w:color="auto" w:fill="auto"/>
          <w:lang w:val="ru-RU" w:eastAsia="ru-RU" w:bidi="ru-RU"/>
        </w:rPr>
        <w:t>части сведений из Единого реестра о членах саморегулируемых организаций в области строительства, реконструкции, капитального ремонта объектов капитального строительства (Извещение об осуществлении закупки (п. 3 «Требование к участникам закупок в соответствии с п. 1 ч. 1 ст. 31 Федерального закона № 44-ФЗ» раздела «Преимущества, требования к участникам»); пп. «н», п.1, ч.1 статьи 43; п.1 ч.12 ст. 48 Федерального закона от 05.04.2013 № 44-ФЗ).</w:t>
      </w:r>
    </w:p>
    <w:p>
      <w:pPr>
        <w:pStyle w:val="Style15"/>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Частью 1 статьи 43 Федерального закона от 05.04.2013 № 44-ФЗ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15"/>
        <w:keepNext w:val="0"/>
        <w:keepLines w:val="0"/>
        <w:widowControl w:val="0"/>
        <w:numPr>
          <w:ilvl w:val="0"/>
          <w:numId w:val="3"/>
        </w:numPr>
        <w:shd w:val="clear" w:color="auto" w:fill="auto"/>
        <w:tabs>
          <w:tab w:pos="91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информацию и документы об участнике закупки:</w:t>
      </w:r>
    </w:p>
    <w:p>
      <w:pPr>
        <w:pStyle w:val="Style15"/>
        <w:keepNext w:val="0"/>
        <w:keepLines w:val="0"/>
        <w:widowControl w:val="0"/>
        <w:numPr>
          <w:ilvl w:val="0"/>
          <w:numId w:val="5"/>
        </w:numPr>
        <w:shd w:val="clear" w:color="auto" w:fill="auto"/>
        <w:tabs>
          <w:tab w:pos="89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15"/>
        <w:keepNext w:val="0"/>
        <w:keepLines w:val="0"/>
        <w:widowControl w:val="0"/>
        <w:numPr>
          <w:ilvl w:val="0"/>
          <w:numId w:val="5"/>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5"/>
        <w:keepNext w:val="0"/>
        <w:keepLines w:val="0"/>
        <w:widowControl w:val="0"/>
        <w:numPr>
          <w:ilvl w:val="0"/>
          <w:numId w:val="5"/>
        </w:numPr>
        <w:shd w:val="clear" w:color="auto" w:fill="auto"/>
        <w:tabs>
          <w:tab w:pos="9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5"/>
        <w:keepNext w:val="0"/>
        <w:keepLines w:val="0"/>
        <w:widowControl w:val="0"/>
        <w:numPr>
          <w:ilvl w:val="0"/>
          <w:numId w:val="5"/>
        </w:numPr>
        <w:shd w:val="clear" w:color="auto" w:fill="auto"/>
        <w:tabs>
          <w:tab w:pos="89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pPr>
        <w:pStyle w:val="Style15"/>
        <w:keepNext w:val="0"/>
        <w:keepLines w:val="0"/>
        <w:widowControl w:val="0"/>
        <w:numPr>
          <w:ilvl w:val="0"/>
          <w:numId w:val="5"/>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pPr>
        <w:pStyle w:val="Style15"/>
        <w:keepNext w:val="0"/>
        <w:keepLines w:val="0"/>
        <w:widowControl w:val="0"/>
        <w:numPr>
          <w:ilvl w:val="0"/>
          <w:numId w:val="5"/>
        </w:numPr>
        <w:shd w:val="clear" w:color="auto" w:fill="auto"/>
        <w:tabs>
          <w:tab w:pos="89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w:t>
      </w:r>
      <w:r>
        <w:rPr>
          <w:color w:val="000000"/>
          <w:spacing w:val="0"/>
          <w:w w:val="100"/>
          <w:position w:val="0"/>
          <w:shd w:val="clear" w:color="auto" w:fill="auto"/>
          <w:lang w:val="ru-RU" w:eastAsia="ru-RU" w:bidi="ru-RU"/>
        </w:rPr>
        <w:t>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5"/>
        <w:keepNext w:val="0"/>
        <w:keepLines w:val="0"/>
        <w:widowControl w:val="0"/>
        <w:numPr>
          <w:ilvl w:val="0"/>
          <w:numId w:val="5"/>
        </w:numPr>
        <w:shd w:val="clear" w:color="auto" w:fill="auto"/>
        <w:tabs>
          <w:tab w:pos="96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pPr>
        <w:pStyle w:val="Style15"/>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pPr>
        <w:pStyle w:val="Style15"/>
        <w:keepNext w:val="0"/>
        <w:keepLines w:val="0"/>
        <w:widowControl w:val="0"/>
        <w:numPr>
          <w:ilvl w:val="0"/>
          <w:numId w:val="5"/>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pPr>
        <w:pStyle w:val="Style15"/>
        <w:keepNext w:val="0"/>
        <w:keepLines w:val="0"/>
        <w:widowControl w:val="0"/>
        <w:numPr>
          <w:ilvl w:val="0"/>
          <w:numId w:val="5"/>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pPr>
        <w:pStyle w:val="Style15"/>
        <w:keepNext w:val="0"/>
        <w:keepLines w:val="0"/>
        <w:widowControl w:val="0"/>
        <w:numPr>
          <w:ilvl w:val="0"/>
          <w:numId w:val="5"/>
        </w:numPr>
        <w:shd w:val="clear" w:color="auto" w:fill="auto"/>
        <w:tabs>
          <w:tab w:pos="91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pPr>
        <w:pStyle w:val="Style15"/>
        <w:keepNext w:val="0"/>
        <w:keepLines w:val="0"/>
        <w:widowControl w:val="0"/>
        <w:numPr>
          <w:ilvl w:val="0"/>
          <w:numId w:val="5"/>
        </w:numPr>
        <w:shd w:val="clear" w:color="auto" w:fill="auto"/>
        <w:tabs>
          <w:tab w:pos="94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pPr>
        <w:pStyle w:val="Style15"/>
        <w:keepNext w:val="0"/>
        <w:keepLines w:val="0"/>
        <w:widowControl w:val="0"/>
        <w:numPr>
          <w:ilvl w:val="0"/>
          <w:numId w:val="5"/>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pPr>
        <w:pStyle w:val="Style15"/>
        <w:keepNext w:val="0"/>
        <w:keepLines w:val="0"/>
        <w:widowControl w:val="0"/>
        <w:numPr>
          <w:ilvl w:val="0"/>
          <w:numId w:val="5"/>
        </w:numPr>
        <w:shd w:val="clear" w:color="auto" w:fill="auto"/>
        <w:tabs>
          <w:tab w:pos="90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декларация о соответствии участника закупки требованиям, установленным пунктами 3 - 5, 7 - 11 части 1 статьи 31 настоящего Федерального закона;</w:t>
      </w:r>
    </w:p>
    <w:p>
      <w:pPr>
        <w:pStyle w:val="Style15"/>
        <w:keepNext w:val="0"/>
        <w:keepLines w:val="0"/>
        <w:widowControl w:val="0"/>
        <w:numPr>
          <w:ilvl w:val="0"/>
          <w:numId w:val="5"/>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pPr>
        <w:pStyle w:val="Style15"/>
        <w:keepNext w:val="0"/>
        <w:keepLines w:val="0"/>
        <w:widowControl w:val="0"/>
        <w:numPr>
          <w:ilvl w:val="0"/>
          <w:numId w:val="5"/>
        </w:numPr>
        <w:shd w:val="clear" w:color="auto" w:fill="auto"/>
        <w:tabs>
          <w:tab w:pos="90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случае проведения электронного конкурса и установления критерия, </w:t>
      </w:r>
      <w:r>
        <w:rPr>
          <w:color w:val="000000"/>
          <w:spacing w:val="0"/>
          <w:w w:val="100"/>
          <w:position w:val="0"/>
          <w:shd w:val="clear" w:color="auto" w:fill="auto"/>
          <w:lang w:val="ru-RU" w:eastAsia="ru-RU" w:bidi="ru-RU"/>
        </w:rPr>
        <w:t>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pPr>
        <w:pStyle w:val="Style15"/>
        <w:keepNext w:val="0"/>
        <w:keepLines w:val="0"/>
        <w:widowControl w:val="0"/>
        <w:numPr>
          <w:ilvl w:val="0"/>
          <w:numId w:val="3"/>
        </w:numPr>
        <w:shd w:val="clear" w:color="auto" w:fill="auto"/>
        <w:tabs>
          <w:tab w:pos="94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в отношении объекта закупки:</w:t>
      </w:r>
    </w:p>
    <w:p>
      <w:pPr>
        <w:pStyle w:val="Style15"/>
        <w:keepNext w:val="0"/>
        <w:keepLines w:val="0"/>
        <w:widowControl w:val="0"/>
        <w:numPr>
          <w:ilvl w:val="0"/>
          <w:numId w:val="7"/>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5"/>
        <w:keepNext w:val="0"/>
        <w:keepLines w:val="0"/>
        <w:widowControl w:val="0"/>
        <w:numPr>
          <w:ilvl w:val="0"/>
          <w:numId w:val="7"/>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5"/>
        <w:keepNext w:val="0"/>
        <w:keepLines w:val="0"/>
        <w:widowControl w:val="0"/>
        <w:numPr>
          <w:ilvl w:val="0"/>
          <w:numId w:val="7"/>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5"/>
        <w:keepNext w:val="0"/>
        <w:keepLines w:val="0"/>
        <w:widowControl w:val="0"/>
        <w:numPr>
          <w:ilvl w:val="0"/>
          <w:numId w:val="7"/>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5"/>
        <w:keepNext w:val="0"/>
        <w:keepLines w:val="0"/>
        <w:widowControl w:val="0"/>
        <w:numPr>
          <w:ilvl w:val="0"/>
          <w:numId w:val="7"/>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5"/>
        <w:keepNext w:val="0"/>
        <w:keepLines w:val="0"/>
        <w:widowControl w:val="0"/>
        <w:numPr>
          <w:ilvl w:val="0"/>
          <w:numId w:val="3"/>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цене контракта (за исключением случая, предусмотренного пунктом 4 настоящей части);</w:t>
      </w:r>
    </w:p>
    <w:p>
      <w:pPr>
        <w:pStyle w:val="Style15"/>
        <w:keepNext w:val="0"/>
        <w:keepLines w:val="0"/>
        <w:widowControl w:val="0"/>
        <w:numPr>
          <w:ilvl w:val="0"/>
          <w:numId w:val="3"/>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pPr>
        <w:pStyle w:val="Style15"/>
        <w:keepNext w:val="0"/>
        <w:keepLines w:val="0"/>
        <w:widowControl w:val="0"/>
        <w:numPr>
          <w:ilvl w:val="0"/>
          <w:numId w:val="3"/>
        </w:numPr>
        <w:shd w:val="clear" w:color="auto" w:fill="auto"/>
        <w:tabs>
          <w:tab w:pos="91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частью 2 статьи 43 Федерального закона от 05.04.2013 № 44-ФЗ, при формировании предложения участника закупки в отношении объекта закупки: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w:t>
      </w:r>
      <w:r>
        <w:rPr>
          <w:color w:val="000000"/>
          <w:spacing w:val="0"/>
          <w:w w:val="100"/>
          <w:position w:val="0"/>
          <w:shd w:val="clear" w:color="auto" w:fill="auto"/>
          <w:lang w:val="ru-RU" w:eastAsia="ru-RU" w:bidi="ru-RU"/>
        </w:rPr>
        <w:t>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3 статьи 43 Федерального закона от 05.04.2013 № 44-ФЗ,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5 статьи 48 Федерального закона от 05.04.2013 № 44-ФЗ установлено, что при рассмотрении первых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pPr>
        <w:pStyle w:val="Style15"/>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pPr>
        <w:pStyle w:val="Style15"/>
        <w:keepNext w:val="0"/>
        <w:keepLines w:val="0"/>
        <w:widowControl w:val="0"/>
        <w:numPr>
          <w:ilvl w:val="0"/>
          <w:numId w:val="9"/>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первой части заявки на участие в закупке.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Частью 12 статьи 48 Федерального закона от 05.04.2013 № 44-ФЗ установлено, что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w:t>
      </w:r>
      <w:r>
        <w:rPr>
          <w:color w:val="000000"/>
          <w:spacing w:val="0"/>
          <w:w w:val="100"/>
          <w:position w:val="0"/>
          <w:shd w:val="clear" w:color="auto" w:fill="auto"/>
          <w:lang w:val="ru-RU" w:eastAsia="ru-RU" w:bidi="ru-RU"/>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11"/>
        </w:numPr>
        <w:shd w:val="clear" w:color="auto" w:fill="auto"/>
        <w:tabs>
          <w:tab w:pos="16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5"/>
        <w:keepNext w:val="0"/>
        <w:keepLines w:val="0"/>
        <w:widowControl w:val="0"/>
        <w:numPr>
          <w:ilvl w:val="0"/>
          <w:numId w:val="11"/>
        </w:numPr>
        <w:shd w:val="clear" w:color="auto" w:fill="auto"/>
        <w:tabs>
          <w:tab w:pos="105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настоящего Федерального закона.</w:t>
      </w:r>
    </w:p>
    <w:p>
      <w:pPr>
        <w:pStyle w:val="Style15"/>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 xml:space="preserve">3. </w:t>
      </w:r>
      <w:r>
        <w:rPr>
          <w:color w:val="000000"/>
          <w:spacing w:val="0"/>
          <w:w w:val="100"/>
          <w:position w:val="0"/>
          <w:shd w:val="clear" w:color="auto" w:fill="auto"/>
          <w:lang w:val="ru-RU" w:eastAsia="ru-RU" w:bidi="ru-RU"/>
        </w:rPr>
        <w:t>Согласно доводам жалобы заявителя, комиссия уполномоченного органа в нарушение требований Федерального закона от 05.04.2013 № 44-ФЗ отклонила заявку ООО «Гарантстрой».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рассмотрения жалобы по существу, Комиссия Калужского УФАС России установила следующее.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Извещением аукциона установлено, что заявка на участие в закупке должна содержать информацию и документы об участнике закупки, в том числе: документы, подтверждающие соответствие участника закупки требованиям, установленным пунктом 1 части 1 статьи 31 Федерального закона №44-ФЗ:</w:t>
      </w:r>
    </w:p>
    <w:p>
      <w:pPr>
        <w:pStyle w:val="Style15"/>
        <w:keepNext w:val="0"/>
        <w:keepLines w:val="0"/>
        <w:widowControl w:val="0"/>
        <w:shd w:val="clear" w:color="auto" w:fill="auto"/>
        <w:tabs>
          <w:tab w:pos="906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сведения из Единого реестра сведений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(далее - Единый реестр) в части сведений из Единого реестра о членах саморегулируемых организаций в области строительства, реконструкции, капитального ремонта объектов капитального строительства (основание: ст. 55.17 Градостроительного кодекса Российской Федерации от 29.12.2004</w:t>
        <w:tab/>
        <w:t>№190-ФЗ,</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 Правительства от 25.05.2022 № 945 «Об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и правил формирования и ведения единого реестра о членах саморегулируемых организаций в области инженерных изысканий, архитектурно</w:t>
        <w:softHyphen/>
        <w:t>строительного проектирования, строительства, реконструкции, капитального ремонта, сноса объектов капитального строительства и их обязательствах, в том числе включения в указанный реестр сведений»).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Требование не распространяется:</w:t>
      </w:r>
    </w:p>
    <w:p>
      <w:pPr>
        <w:pStyle w:val="Style15"/>
        <w:keepNext w:val="0"/>
        <w:keepLines w:val="0"/>
        <w:widowControl w:val="0"/>
        <w:numPr>
          <w:ilvl w:val="0"/>
          <w:numId w:val="13"/>
        </w:numPr>
        <w:shd w:val="clear" w:color="auto" w:fill="auto"/>
        <w:tabs>
          <w:tab w:pos="81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участников, которые предложат цену контракта 10 млн.руб. и менее. Такие участники не обязаны быть членами СРО в силу ч. 2.1 ст. 52 ГрК РФ;</w:t>
      </w:r>
    </w:p>
    <w:p>
      <w:pPr>
        <w:pStyle w:val="Style15"/>
        <w:keepNext w:val="0"/>
        <w:keepLines w:val="0"/>
        <w:widowControl w:val="0"/>
        <w:numPr>
          <w:ilvl w:val="0"/>
          <w:numId w:val="13"/>
        </w:numPr>
        <w:shd w:val="clear" w:color="auto" w:fill="auto"/>
        <w:tabs>
          <w:tab w:pos="80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 унитарные предприятия, государственные и муниципальные учреждения, юрлица с госучастием в случаях, которые перечислены в ч. 2.2 ст. 52 ГрК РФ.</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качестве подтверждения данных сведений участник закупки вправе предоставить декларацию (в свободной форме) о реестровом номере сведений о члене саморегулируемой организации, внесённого в Единый реестр.</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Частями 3, 5 статьи 55.17 Градостроительного кодекса Российской Федерации установлено, что формирование и ведение единого реестра сведений о членах </w:t>
      </w:r>
      <w:r>
        <w:rPr>
          <w:color w:val="000000"/>
          <w:spacing w:val="0"/>
          <w:w w:val="100"/>
          <w:position w:val="0"/>
          <w:shd w:val="clear" w:color="auto" w:fill="auto"/>
          <w:lang w:val="ru-RU" w:eastAsia="ru-RU" w:bidi="ru-RU"/>
        </w:rPr>
        <w:t>саморегулируемых организаций и их обязательствах осуществляются соответствующим Национальным объединением саморегулируемых организаций; 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положений части 2 статьи 7.1 Федерального закона от 1 декабря 2007 года №315-ФЗ «О саморегулируемых организациях» наличие сведений в едином реестре сведений о членах саморегулируемых организаций и их обязательствах в настоящее время является подтверждением членства в соответствующей саморегулируемой организации.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Учитывая изложенное, при осуществлении закупки, в извещении об осуществлении которой установлено требование к участникам закупки о членстве в соответствующей саморегулируемой организации: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требование к подтверждающему документу в извещении об осуществлении закупки не устанавливается, подтверждающий документ в заявке на участие в закупке не представляется;</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случае отсутствия сведений об участнике закупки в вышеуказанном едином реестре, заявка такого участника закупки отклоняется в соответствии с подпунктом "а" пункта 1 части 11 статьи 48, подпунктом "а" пункта 1 части 5 статьи 49, подпунктом "а" пункта 1 части 3 статьи 50 Федерального закона № 44-ФЗ на основании пункта 3 части 12 статьи 48 Федерального закона № 44-ФЗ в связи с несоответствием участника закупки требованиям, установленным в извещении об осуществлении закупки в соответствии с частью 1 статьи 31 Федерального закона № 44-ФЗ.</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Данные выводы также отражены в письме Минфина России от 16 сентября 2022 г. №24-06-08/90074, в совместном письме Минфина России и Министерства строительства и жилищно-коммунального хозяйства РФ от 3 октября 2022 г. №№ 24-01-07/95279, Б0737- СИ/02.</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в связи с отсутствием законодательно закрепленного требования об обязанности предоставлять в составе заявки на участие в закупке документ, подтверждающий членство участника закупки в саморегулируемой организации, комиссия по осуществлению закупок самостоятельно при рассмотрении заявок на участие в закупке проверяет наличие таких сведений в едином реестре сведений о членах саморегулируемых организаций и их обязательствах, формирование и ведение которое осуществляют соответствующие Национальные объединения саморегулируемых организаций.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Вследствие того, что участник закупки не обязан предоставлять в составе заявки на участие в электронном аукционе документ, подтверждающий его соответствие требованию, установленному пунктом 1 части 1 статьи 31 Федерального закона № 44-ФЗ в части членства в саморегулируемой организации, а документы Извещения предусматривали лишь право участника предоставить такие сведения, комиссия уполномоченного органа незаконно отклонила заявку по основаниям, указанным в протоколе подведения итогов от 18.04.2023 №ИЭА1.</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Комиссия Калужского УФАС России приходит к выводу, что действия комиссии уполномоченного органа при рассмотрении заявок нарушают часть 12 статьи 48 Федерального закона от 05.04.2013г. 44-ФЗ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w:t>
      </w:r>
      <w:r>
        <w:rPr>
          <w:b/>
          <w:bCs/>
          <w:color w:val="000000"/>
          <w:spacing w:val="0"/>
          <w:w w:val="100"/>
          <w:position w:val="0"/>
          <w:shd w:val="clear" w:color="auto" w:fill="auto"/>
          <w:lang w:val="ru-RU" w:eastAsia="ru-RU" w:bidi="ru-RU"/>
        </w:rPr>
        <w:t>решила:</w:t>
      </w:r>
      <w:r>
        <w:br w:type="page"/>
      </w:r>
    </w:p>
    <w:p>
      <w:pPr>
        <w:pStyle w:val="Style15"/>
        <w:keepNext w:val="0"/>
        <w:keepLines w:val="0"/>
        <w:widowControl w:val="0"/>
        <w:numPr>
          <w:ilvl w:val="0"/>
          <w:numId w:val="15"/>
        </w:numPr>
        <w:shd w:val="clear" w:color="auto" w:fill="auto"/>
        <w:tabs>
          <w:tab w:pos="140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Признать жалобу ООО «Гарантстрой» </w:t>
      </w:r>
      <w:r>
        <w:rPr>
          <w:b/>
          <w:bCs/>
          <w:color w:val="000000"/>
          <w:spacing w:val="0"/>
          <w:w w:val="100"/>
          <w:position w:val="0"/>
          <w:shd w:val="clear" w:color="auto" w:fill="auto"/>
          <w:lang w:val="ru-RU" w:eastAsia="ru-RU" w:bidi="ru-RU"/>
        </w:rPr>
        <w:t>обоснованной</w:t>
      </w:r>
      <w:r>
        <w:rPr>
          <w:color w:val="000000"/>
          <w:spacing w:val="0"/>
          <w:w w:val="100"/>
          <w:position w:val="0"/>
          <w:shd w:val="clear" w:color="auto" w:fill="auto"/>
          <w:lang w:val="ru-RU" w:eastAsia="ru-RU" w:bidi="ru-RU"/>
        </w:rPr>
        <w:t>.</w:t>
      </w:r>
    </w:p>
    <w:p>
      <w:pPr>
        <w:pStyle w:val="Style15"/>
        <w:keepNext w:val="0"/>
        <w:keepLines w:val="0"/>
        <w:widowControl w:val="0"/>
        <w:numPr>
          <w:ilvl w:val="0"/>
          <w:numId w:val="15"/>
        </w:numPr>
        <w:shd w:val="clear" w:color="auto" w:fill="auto"/>
        <w:tabs>
          <w:tab w:pos="92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действия комиссии уполномоченного органа - Министерства конкурентной политики Калужской области при рассмотрении заявки ООО «Гарантстрой», нарушающими часть 12 статьи 48 Федерального закона от 05.04.2013 № 44-ФЗ.</w:t>
      </w:r>
    </w:p>
    <w:p>
      <w:pPr>
        <w:pStyle w:val="Style15"/>
        <w:keepNext w:val="0"/>
        <w:keepLines w:val="0"/>
        <w:widowControl w:val="0"/>
        <w:numPr>
          <w:ilvl w:val="0"/>
          <w:numId w:val="15"/>
        </w:numPr>
        <w:shd w:val="clear" w:color="auto" w:fill="auto"/>
        <w:tabs>
          <w:tab w:pos="93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комиссии уполномоченного органа предписание об отмене протокола подведения итогов определения поставщика (подрядчика, исполнителя) от 18.04.2023 №ИЭА1 и повторном рассмотрении заявок на участие в Аукционе с учетом настоящего Решения.</w:t>
      </w:r>
    </w:p>
    <w:p>
      <w:pPr>
        <w:pStyle w:val="Style15"/>
        <w:keepNext w:val="0"/>
        <w:keepLines w:val="0"/>
        <w:widowControl w:val="0"/>
        <w:numPr>
          <w:ilvl w:val="0"/>
          <w:numId w:val="15"/>
        </w:numPr>
        <w:shd w:val="clear" w:color="auto" w:fill="auto"/>
        <w:tabs>
          <w:tab w:pos="93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 АО «Сбербанк-АСТ» обеспечить возможность комиссии уполномоченного органа отменить протокол подведения итогов определения поставщика (подрядчика, исполнителя) от 18.04.2023 №ИЭА1 и повторно рассмотреть заявки на участие в Аукционе.</w:t>
      </w:r>
    </w:p>
    <w:p>
      <w:pPr>
        <w:pStyle w:val="Style15"/>
        <w:keepNext w:val="0"/>
        <w:keepLines w:val="0"/>
        <w:widowControl w:val="0"/>
        <w:numPr>
          <w:ilvl w:val="0"/>
          <w:numId w:val="15"/>
        </w:numPr>
        <w:shd w:val="clear" w:color="auto" w:fill="auto"/>
        <w:tabs>
          <w:tab w:pos="931"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21" w:right="544" w:bottom="1174" w:left="1089" w:header="0" w:footer="3" w:gutter="0"/>
          <w:cols w:space="720"/>
          <w:noEndnote/>
          <w:rtlGutter w:val="0"/>
          <w:docGrid w:linePitch="360"/>
        </w:sectPr>
      </w:pPr>
      <w:r>
        <mc:AlternateContent>
          <mc:Choice Requires="wps">
            <w:drawing>
              <wp:anchor distT="304800" distB="332105" distL="0" distR="0" simplePos="0" relativeHeight="125829380" behindDoc="0" locked="0" layoutInCell="1" allowOverlap="1">
                <wp:simplePos x="0" y="0"/>
                <wp:positionH relativeFrom="page">
                  <wp:posOffset>735965</wp:posOffset>
                </wp:positionH>
                <wp:positionV relativeFrom="paragraph">
                  <wp:posOffset>304800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24.pt;width:144.pt;height:19.449999999999999pt;z-index:-125829373;mso-wrap-distance-left:0;mso-wrap-distance-top:24.pt;mso-wrap-distance-right:0;mso-wrap-distance-bottom:26.15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topAndBottom" anchorx="page"/>
              </v:shape>
            </w:pict>
          </mc:Fallback>
        </mc:AlternateContent>
      </w:r>
      <w:r>
        <w:drawing>
          <wp:anchor distT="350520" distB="0" distL="0" distR="1786255" simplePos="0" relativeHeight="125829382" behindDoc="0" locked="0" layoutInCell="1" allowOverlap="1">
            <wp:simplePos x="0" y="0"/>
            <wp:positionH relativeFrom="page">
              <wp:posOffset>2659380</wp:posOffset>
            </wp:positionH>
            <wp:positionV relativeFrom="paragraph">
              <wp:posOffset>350520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749935</wp:posOffset>
                </wp:positionV>
                <wp:extent cx="1286510" cy="103505"/>
                <wp:wrapNone/>
                <wp:docPr id="11" name="Shape 1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0000000000001pt;margin-top:59.050000000000004pt;width:101.3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9E9E9"/>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438785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4.550000000000004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54990" distB="133985" distL="0" distR="0" simplePos="0" relativeHeight="125829383" behindDoc="0" locked="0" layoutInCell="1" allowOverlap="1">
                <wp:simplePos x="0" y="0"/>
                <wp:positionH relativeFrom="page">
                  <wp:posOffset>6097270</wp:posOffset>
                </wp:positionH>
                <wp:positionV relativeFrom="paragraph">
                  <wp:posOffset>554990</wp:posOffset>
                </wp:positionV>
                <wp:extent cx="1088390" cy="194945"/>
                <wp:wrapTopAndBottom/>
                <wp:docPr id="15" name="Shape 15"/>
                <a:graphic xmlns:a="http://schemas.openxmlformats.org/drawingml/2006/main">
                  <a:graphicData uri="http://schemas.microsoft.com/office/word/2010/wordprocessingShape">
                    <wps:wsp>
                      <wps:cNvSpPr txBox="1"/>
                      <wps:spPr>
                        <a:xfrm>
                          <a:ext cx="1088390" cy="19494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wps:txbx>
                      <wps:bodyPr wrap="none" lIns="0" tIns="0" rIns="0" bIns="0">
                        <a:noAutoFit/>
                      </wps:bodyPr>
                    </wps:wsp>
                  </a:graphicData>
                </a:graphic>
              </wp:anchor>
            </w:drawing>
          </mc:Choice>
          <mc:Fallback>
            <w:pict>
              <v:shape id="_x0000_s1041" type="#_x0000_t202" style="position:absolute;margin-left:480.10000000000002pt;margin-top:43.700000000000003pt;width:85.700000000000003pt;height:15.35pt;z-index:-125829370;mso-wrap-distance-left:0;mso-wrap-distance-top:43.700000000000003pt;mso-wrap-distance-right:0;mso-wrap-distance-bottom:10.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М.А. Чуриков</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23232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Чуриков Максим Александрович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ЗАО4Е8323С724В46А443О45Е904Е2547</w:t>
      </w:r>
    </w:p>
    <w:p>
      <w:pPr>
        <w:pStyle w:val="Style29"/>
        <w:keepNext w:val="0"/>
        <w:keepLines w:val="0"/>
        <w:widowControl w:val="0"/>
        <w:shd w:val="clear" w:color="auto" w:fill="auto"/>
        <w:bidi w:val="0"/>
        <w:spacing w:before="0" w:after="24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07.1</w:t>
      </w:r>
      <w:r>
        <w:rPr>
          <w:color w:val="8E8E8E"/>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.2022 </w:t>
      </w:r>
      <w:r>
        <w:rPr>
          <w:color w:val="8E8E8E"/>
          <w:spacing w:val="0"/>
          <w:w w:val="100"/>
          <w:position w:val="0"/>
          <w:shd w:val="clear" w:color="auto" w:fill="auto"/>
          <w:lang w:val="ru-RU" w:eastAsia="ru-RU" w:bidi="ru-RU"/>
        </w:rPr>
        <w:t xml:space="preserve">по </w:t>
      </w:r>
      <w:r>
        <w:rPr>
          <w:color w:val="6E6E6E"/>
          <w:spacing w:val="0"/>
          <w:w w:val="100"/>
          <w:position w:val="0"/>
          <w:shd w:val="clear" w:color="auto" w:fill="auto"/>
          <w:lang w:val="ru-RU" w:eastAsia="ru-RU" w:bidi="ru-RU"/>
        </w:rPr>
        <w:t>31</w:t>
      </w:r>
      <w:r>
        <w:rPr>
          <w:spacing w:val="0"/>
          <w:w w:val="100"/>
          <w:position w:val="0"/>
          <w:shd w:val="clear" w:color="auto" w:fill="auto"/>
          <w:lang w:val="ru-RU" w:eastAsia="ru-RU" w:bidi="ru-RU"/>
        </w:rPr>
        <w:t>.01</w:t>
      </w:r>
      <w:r>
        <w:rPr>
          <w:color w:val="232323"/>
          <w:spacing w:val="0"/>
          <w:w w:val="100"/>
          <w:position w:val="0"/>
          <w:shd w:val="clear" w:color="auto" w:fill="auto"/>
          <w:lang w:val="ru-RU" w:eastAsia="ru-RU" w:bidi="ru-RU"/>
        </w:rPr>
        <w:t>.2024</w:t>
      </w:r>
    </w:p>
    <w:p>
      <w:pPr>
        <w:pStyle w:val="Style15"/>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widowControl w:val="0"/>
        <w:spacing w:line="1" w:lineRule="exact"/>
        <w:sectPr>
          <w:footnotePr>
            <w:pos w:val="pageBottom"/>
            <w:numFmt w:val="decimal"/>
            <w:numRestart w:val="continuous"/>
          </w:footnotePr>
          <w:type w:val="continuous"/>
          <w:pgSz w:w="11900" w:h="16840"/>
          <w:pgMar w:top="1402" w:right="536" w:bottom="3996" w:left="1106" w:header="0" w:footer="3" w:gutter="0"/>
          <w:cols w:space="720"/>
          <w:noEndnote/>
          <w:rtlGutter w:val="0"/>
          <w:docGrid w:linePitch="360"/>
        </w:sectPr>
      </w:pPr>
      <w:r>
        <mc:AlternateContent>
          <mc:Choice Requires="wps">
            <w:drawing>
              <wp:anchor distT="161290" distB="635" distL="0" distR="0" simplePos="0" relativeHeight="125829385" behindDoc="0" locked="0" layoutInCell="1" allowOverlap="1">
                <wp:simplePos x="0" y="0"/>
                <wp:positionH relativeFrom="page">
                  <wp:posOffset>3074035</wp:posOffset>
                </wp:positionH>
                <wp:positionV relativeFrom="paragraph">
                  <wp:posOffset>161290</wp:posOffset>
                </wp:positionV>
                <wp:extent cx="1722120" cy="255905"/>
                <wp:wrapTopAndBottom/>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05000000000001pt;margin-top:12.700000000000001pt;width:135.59999999999999pt;height:20.150000000000002pt;z-index:-125829368;mso-wrap-distance-left:0;mso-wrap-distance-top:12.700000000000001pt;mso-wrap-distance-right:0;mso-wrap-distance-bottom:5.0000000000000003e-002pt;mso-position-horizontal-relative:page" filled="f" stroked="f">
                <v:textbox inset="0,0,0,0">
                  <w:txbxContent>
                    <w:p>
                      <w:pPr>
                        <w:pStyle w:val="Style26"/>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7" behindDoc="0" locked="0" layoutInCell="1" allowOverlap="1">
                <wp:simplePos x="0" y="0"/>
                <wp:positionH relativeFrom="page">
                  <wp:posOffset>6067425</wp:posOffset>
                </wp:positionH>
                <wp:positionV relativeFrom="paragraph">
                  <wp:posOffset>0</wp:posOffset>
                </wp:positionV>
                <wp:extent cx="1124585" cy="250190"/>
                <wp:wrapTopAndBottom/>
                <wp:docPr id="19" name="Shape 19"/>
                <a:graphic xmlns:a="http://schemas.openxmlformats.org/drawingml/2006/main">
                  <a:graphicData uri="http://schemas.microsoft.com/office/word/2010/wordprocessingShape">
                    <wps:wsp>
                      <wps:cNvSpPr txBox="1"/>
                      <wps:spPr>
                        <a:xfrm>
                          <a:ext cx="112458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О.А. Дорогова</w:t>
                            </w:r>
                          </w:p>
                        </w:txbxContent>
                      </wps:txbx>
                      <wps:bodyPr wrap="none" lIns="0" tIns="0" rIns="0" bIns="0">
                        <a:noAutoFit/>
                      </wps:bodyPr>
                    </wps:wsp>
                  </a:graphicData>
                </a:graphic>
              </wp:anchor>
            </w:drawing>
          </mc:Choice>
          <mc:Fallback>
            <w:pict>
              <v:shape id="_x0000_s1045" type="#_x0000_t202" style="position:absolute;margin-left:477.75pt;margin-top:0;width:88.549999999999997pt;height:19.699999999999999pt;z-index:-125829366;mso-wrap-distance-left:0;mso-wrap-distance-right:0;mso-wrap-distance-bottom:13.2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О.А. Дорогова</w:t>
                      </w:r>
                    </w:p>
                  </w:txbxContent>
                </v:textbox>
                <w10:wrap type="topAndBottom" anchorx="page"/>
              </v:shape>
            </w:pict>
          </mc:Fallback>
        </mc:AlternateConten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1"/>
          <w:szCs w:val="11"/>
        </w:rPr>
      </w:pPr>
      <w:r>
        <w:rPr>
          <w:color w:val="E9E9E9"/>
          <w:spacing w:val="0"/>
          <w:w w:val="100"/>
          <w:position w:val="0"/>
          <w:sz w:val="11"/>
          <w:szCs w:val="11"/>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Дорогова Ольга Анатольевна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338Е73107ЕА2СЕО546297С1973929570</w:t>
      </w:r>
    </w:p>
    <w:p>
      <w:pPr>
        <w:pStyle w:val="Style29"/>
        <w:keepNext w:val="0"/>
        <w:keepLines w:val="0"/>
        <w:widowControl w:val="0"/>
        <w:shd w:val="clear" w:color="auto" w:fill="auto"/>
        <w:bidi w:val="0"/>
        <w:spacing w:before="0" w:after="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E6E6E"/>
          <w:spacing w:val="0"/>
          <w:w w:val="100"/>
          <w:position w:val="0"/>
          <w:shd w:val="clear" w:color="auto" w:fill="auto"/>
          <w:lang w:val="ru-RU" w:eastAsia="ru-RU" w:bidi="ru-RU"/>
        </w:rPr>
        <w:t xml:space="preserve">03.02.2023 </w:t>
      </w:r>
      <w:r>
        <w:rPr>
          <w:color w:val="8E8E8E"/>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28.04.2024</w:t>
      </w:r>
    </w:p>
    <w:p>
      <w:pPr>
        <w:widowControl w:val="0"/>
        <w:spacing w:line="1" w:lineRule="exact"/>
      </w:pPr>
      <w:r>
        <mc:AlternateContent>
          <mc:Choice Requires="wps">
            <w:drawing>
              <wp:anchor distT="227965" distB="0" distL="0" distR="0" simplePos="0" relativeHeight="125829389" behindDoc="0" locked="0" layoutInCell="1" allowOverlap="1">
                <wp:simplePos x="0" y="0"/>
                <wp:positionH relativeFrom="page">
                  <wp:posOffset>3074035</wp:posOffset>
                </wp:positionH>
                <wp:positionV relativeFrom="paragraph">
                  <wp:posOffset>227965</wp:posOffset>
                </wp:positionV>
                <wp:extent cx="1722120" cy="255905"/>
                <wp:wrapTopAndBottom/>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17.949999999999999pt;width:135.59999999999999pt;height:20.150000000000002pt;z-index:-125829364;mso-wrap-distance-left:0;mso-wrap-distance-top:17.949999999999999pt;mso-wrap-distance-right:0;mso-position-horizontal-relative:page" filled="f" stroked="f">
                <v:textbox inset="0,0,0,0">
                  <w:txbxContent>
                    <w:p>
                      <w:pPr>
                        <w:pStyle w:val="Style26"/>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type="topAndBottom" anchorx="page"/>
              </v:shape>
            </w:pict>
          </mc:Fallback>
        </mc:AlternateContent>
      </w:r>
      <w:r>
        <mc:AlternateContent>
          <mc:Choice Requires="wps">
            <w:drawing>
              <wp:anchor distT="63500" distB="167640" distL="0" distR="0" simplePos="0" relativeHeight="125829391" behindDoc="0" locked="0" layoutInCell="1" allowOverlap="1">
                <wp:simplePos x="0" y="0"/>
                <wp:positionH relativeFrom="page">
                  <wp:posOffset>6061075</wp:posOffset>
                </wp:positionH>
                <wp:positionV relativeFrom="paragraph">
                  <wp:posOffset>63500</wp:posOffset>
                </wp:positionV>
                <wp:extent cx="1124585" cy="252730"/>
                <wp:wrapTopAndBottom/>
                <wp:docPr id="23" name="Shape 23"/>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Васильев</w:t>
                            </w:r>
                          </w:p>
                        </w:txbxContent>
                      </wps:txbx>
                      <wps:bodyPr wrap="none" lIns="0" tIns="0" rIns="0" bIns="0">
                        <a:noAutoFit/>
                      </wps:bodyPr>
                    </wps:wsp>
                  </a:graphicData>
                </a:graphic>
              </wp:anchor>
            </w:drawing>
          </mc:Choice>
          <mc:Fallback>
            <w:pict>
              <v:shape id="_x0000_s1049" type="#_x0000_t202" style="position:absolute;margin-left:477.25pt;margin-top:5.pt;width:88.549999999999997pt;height:19.900000000000002pt;z-index:-125829362;mso-wrap-distance-left:0;mso-wrap-distance-top:5.pt;mso-wrap-distance-right:0;mso-wrap-distance-bottom:13.2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Васильев</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color w:val="E9E9E9"/>
          <w:spacing w:val="0"/>
          <w:w w:val="100"/>
          <w:position w:val="0"/>
          <w:sz w:val="11"/>
          <w:szCs w:val="11"/>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E6E6E"/>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Васильев Александр Анатольевич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32323"/>
          <w:spacing w:val="0"/>
          <w:w w:val="100"/>
          <w:position w:val="0"/>
          <w:shd w:val="clear" w:color="auto" w:fill="auto"/>
          <w:lang w:val="ru-RU" w:eastAsia="ru-RU" w:bidi="ru-RU"/>
        </w:rPr>
        <w:t>00В42ЕА8Е4СС872АВЕ1А3643ВА3757ЕВ9</w:t>
      </w:r>
      <w:r>
        <w:rPr>
          <w:color w:val="232323"/>
          <w:spacing w:val="0"/>
          <w:w w:val="100"/>
          <w:position w:val="0"/>
          <w:shd w:val="clear" w:color="auto" w:fill="auto"/>
          <w:lang w:val="ru-RU" w:eastAsia="ru-RU" w:bidi="ru-RU"/>
        </w:rPr>
        <w:t>1</w:t>
      </w:r>
    </w:p>
    <w:p>
      <w:pPr>
        <w:pStyle w:val="Style29"/>
        <w:keepNext w:val="0"/>
        <w:keepLines w:val="0"/>
        <w:widowControl w:val="0"/>
        <w:shd w:val="clear" w:color="auto" w:fill="auto"/>
        <w:bidi w:val="0"/>
        <w:spacing w:before="0" w:after="60" w:line="240" w:lineRule="auto"/>
        <w:ind w:right="0" w:firstLine="0"/>
        <w:jc w:val="left"/>
      </w:pPr>
      <w:r>
        <w:rPr>
          <w:color w:val="6E6E6E"/>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02.02.2023 </w:t>
      </w:r>
      <w:r>
        <w:rPr>
          <w:color w:val="000000"/>
          <w:spacing w:val="0"/>
          <w:w w:val="100"/>
          <w:position w:val="0"/>
          <w:shd w:val="clear" w:color="auto" w:fill="auto"/>
          <w:lang w:val="ru-RU" w:eastAsia="ru-RU" w:bidi="ru-RU"/>
        </w:rPr>
        <w:t xml:space="preserve">по </w:t>
      </w:r>
      <w:r>
        <w:rPr>
          <w:color w:val="232323"/>
          <w:spacing w:val="0"/>
          <w:w w:val="100"/>
          <w:position w:val="0"/>
          <w:shd w:val="clear" w:color="auto" w:fill="auto"/>
          <w:lang w:val="ru-RU" w:eastAsia="ru-RU" w:bidi="ru-RU"/>
        </w:rPr>
        <w:t>27.04.2024</w:t>
      </w:r>
    </w:p>
    <w:sectPr>
      <w:footnotePr>
        <w:pos w:val="pageBottom"/>
        <w:numFmt w:val="decimal"/>
        <w:numRestart w:val="continuous"/>
      </w:footnotePr>
      <w:type w:val="continuous"/>
      <w:pgSz w:w="11900" w:h="16840"/>
      <w:pgMar w:top="1402" w:right="536" w:bottom="399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2023-2069</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2023-2069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 (5)_"/>
    <w:basedOn w:val="DefaultParagraphFont"/>
    <w:link w:val="Style13"/>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character" w:customStyle="1" w:styleId="CharStyle27">
    <w:name w:val="Основной текст (3)_"/>
    <w:basedOn w:val="DefaultParagraphFont"/>
    <w:link w:val="Style26"/>
    <w:rPr>
      <w:rFonts w:ascii="Times New Roman" w:eastAsia="Times New Roman" w:hAnsi="Times New Roman" w:cs="Times New Roman"/>
      <w:b w:val="0"/>
      <w:bCs w:val="0"/>
      <w:i w:val="0"/>
      <w:iCs w:val="0"/>
      <w:smallCaps w:val="0"/>
      <w:strike w:val="0"/>
      <w:color w:val="232323"/>
      <w:sz w:val="12"/>
      <w:szCs w:val="1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B4B4B"/>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160" w:line="288"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5)"/>
    <w:basedOn w:val="Normal"/>
    <w:link w:val="CharStyle14"/>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6">
    <w:name w:val="Основной текст (3)"/>
    <w:basedOn w:val="Normal"/>
    <w:link w:val="CharStyle27"/>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32323"/>
      <w:sz w:val="12"/>
      <w:szCs w:val="12"/>
      <w:u w:val="none"/>
    </w:rPr>
  </w:style>
  <w:style w:type="paragraph" w:customStyle="1" w:styleId="Style29">
    <w:name w:val="Основной текст (2)"/>
    <w:basedOn w:val="Normal"/>
    <w:link w:val="CharStyle30"/>
    <w:pPr>
      <w:widowControl w:val="0"/>
      <w:shd w:val="clear" w:color="auto" w:fill="auto"/>
      <w:ind w:left="3100"/>
    </w:pPr>
    <w:rPr>
      <w:rFonts w:ascii="Arial" w:eastAsia="Arial" w:hAnsi="Arial" w:cs="Arial"/>
      <w:b w:val="0"/>
      <w:bCs w:val="0"/>
      <w:i w:val="0"/>
      <w:iCs w:val="0"/>
      <w:smallCaps w:val="0"/>
      <w:strike w:val="0"/>
      <w:color w:val="4B4B4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