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1" w:h="922" w:wrap="none" w:hAnchor="page" w:x="1602" w:y="961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221" w:h="922" w:wrap="none" w:hAnchor="page" w:x="1602" w:y="96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1о77@Га8.еоу.п1</w:t>
      </w:r>
    </w:p>
    <w:p>
      <w:pPr>
        <w:pStyle w:val="Style6"/>
        <w:keepNext w:val="0"/>
        <w:keepLines w:val="0"/>
        <w:framePr w:w="3773" w:h="1738" w:wrap="none" w:hAnchor="page" w:x="1333" w:y="2084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6"/>
        <w:keepNext w:val="0"/>
        <w:keepLines w:val="0"/>
        <w:framePr w:w="3773" w:h="1738" w:wrap="none" w:hAnchor="page" w:x="1333" w:y="2084"/>
        <w:widowControl w:val="0"/>
        <w:shd w:val="clear" w:color="auto" w:fill="auto"/>
        <w:tabs>
          <w:tab w:pos="1797" w:val="left"/>
        </w:tabs>
        <w:bidi w:val="0"/>
        <w:spacing w:before="0" w:after="140" w:line="240" w:lineRule="auto"/>
        <w:ind w:left="0" w:right="0" w:firstLine="16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color w:val="425FA7"/>
          <w:spacing w:val="0"/>
          <w:w w:val="100"/>
          <w:position w:val="0"/>
          <w:shd w:val="clear" w:color="auto" w:fill="auto"/>
          <w:lang w:val="ru-RU" w:eastAsia="ru-RU" w:bidi="ru-RU"/>
        </w:rPr>
        <w:t>хр</w:t>
      </w:r>
    </w:p>
    <w:p>
      <w:pPr>
        <w:pStyle w:val="Style2"/>
        <w:keepNext w:val="0"/>
        <w:keepLines w:val="0"/>
        <w:framePr w:w="4061" w:h="254" w:wrap="none" w:hAnchor="page" w:x="1141" w:y="41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ЮВАО»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ддкк.иуао@дтай.сот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района Некрасовка»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с1п'11екпшп1&lt;а@таП.П1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«ЕвроМедХолдинг»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V8а@етЪ-те^.^и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framePr w:w="4594" w:h="4901" w:wrap="none" w:hAnchor="page" w:x="6406" w:y="86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077/06/106- 26159-ЭП/23/2023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1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К.А. Сомова,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ГБУ «Жилищник района Некрасовка»: Поляковой Н.С. (дов.№бн от 01.04.2023), ООО ЕвроМедХолдинг: Е.В. Серовой (по дов.№01/23 от 18.01.2023), Департамента города Москвы по конкурентной политике: Е.В. Зайцевой (по дов.№77-13-1/23-23 от 16.03.2023),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ГКУ «Дирекция ЖКХИБ ЮВАО», о времени и порядке заседания Комиссии Управления уведомлены надлежащим образом письмом Московского УФАС России от 25.04.2023 № ЕИ/18247/23,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«ЕвроМедХолдинг» (далее — Заявитель) на действия государственных заказчиков (далее — Заказчики) при проведении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  <w:bookmarkEnd w:id="0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 </w:t>
      </w:r>
      <w:r>
        <w:rPr>
          <w:rStyle w:val="CharStyle10"/>
        </w:rPr>
        <w:t>электронного аукциона на право заключения государственного контракта на оказание услуг по проведению предрейсовых и послерейсовых медицинских осмотров водителей и механизаторов для нужд ГБУ «Жилищник» районов ЮВАО в 2023 году (Закупка № 0373200041123000350)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норм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не представлены в полном объеме документы и сведения, запрашиваемые письмом Московского УФАС России от 25.04.2023 № ЕИ/18247/23, ввиду чего, в действиях Заказчика усматриваются признаки состава административного правонарушения, ответственность за которое предусмотрена ч.1 ст.19.7.2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описание объекта закупки сформировано Заказчиком в нарушение положений действующего законодательства.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согласно положениям п.4 приложения №3 технического задания при помощи телеметрического оборудования осуществляется, в том числе, выявление наличия алкогольного опьянения при помощи алкотестера и наркотического опьянения (при необходимости) при помощи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пупилометрии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(определение размера зрачка), а также специализированного теста на скорость реакции.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86" w:right="536" w:bottom="773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2023-18741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Управлении представитель Заявителя пояснил, что Приказом Минздрава России от 15.12.2014 № 835н «Об утверждении Порядка проведения предсменных, предрейсовых и послесменных, послерейсовых медицинских осмотров» (далее — Приказ №835н) определен исчерпывающий объем и порядок проведения предсменных, предрейсовых и послесменных, послерейсовых медицинских осмотров, а именно: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сбор жалоб, визуальный осмотр, осмотр видимых слизистых и кожных покровов, общая термометрия, измерение артериального давления на периферических артериях, исследование пульса;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выявление признаков опьянения (алкогольного, наркотического или иного токсического), остаточных явлений опьянений, включая проведение лабораторных и инструментальных исследований: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количественного определения алкоголя в выдыхаемом воздухе;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определения наличия психоактивных веществ в моче при наличии признаков опьянения и отрицательных результатов исследования выдыхаемого воздуха на алкоголь.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представитель Заявителя отметил, что, согласно письму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Росздравнадзора №10-11529/23 от 03.03.2023, порядок проведения предсменных, предрейсовых и послесменных, послерейсовых медицинских осмотров утвержден Приказом №835н (далее - Порядок). Требований об использовании медицинского изделия «Пупиллометр» при проведении гражданам предсменных, предрейсовых и послесменных, послерейсовых медицинских осмотров Порядок не содержит.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Приложению №3 к приказу Минздравсоцразвития РФ от 27.01.2006 №40 «Об организации проведения химико-токсикологических исследований при аналитической диагностике наличия в организме человека алкоголя, наркотических средств, психотропных и других токсических веществ», утвержден рекомендуемый перечень Рекомендуемый перечень оборудования и вспомогательных материалов для химико - токсикологической лаборатории наркологического диспансера (наркологической больницы), в который медицинское изделие: «Пупиллометр» не включено.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действующие в настоящее время нормативные правовые акты не предусматривают использование медицинского изделия «Пупиллометр» при химико-токсикологических исследованиях при аналитической диагностике наличия в организме человека алкоголя, наркотических средств, психотропных и других токсических веществ в рамках проведения предсменных, предрейсовых и послесменных, послерейсовых медицинских осмотров.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пупиллометрия - это метод диагностики, который позволяет получить точную количественную оценку колебаний в размере зрачка с целью установки диагноза или для эксперимента. Этот способ применяется изучения реакции зрачка на некоторые раздражители, в том числе на физиологические.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Пупилометр - это медицинское устройство, предназначенное для измерения отраженным светом размера зрачка глаза, который в свою очередь используется при методе диагностики пупиллометрии.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Комиссией Управления установлено, что Порядок не содержит требований об использовании медицинского изделия «Пупиллометр» при проведении гражданам предсменных, предрейсовых и послесменных, послерейсовых медицинских осмотров.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представителей, однако на заседании Комиссии Управления представителем Заказчика не указано на нормы действующих нормативных правовых актов, предусматривающих использование медицинского изделия «Пупиллометр» при химико</w:t>
        <w:softHyphen/>
        <w:t>токсикологических исследованиях при аналитической диагностике наличия в организме человека алкоголя, наркотических средств, психотропных и других токсических веществ в рамках проведения предсменных, предрейсовых и послесменных, послерейсовых медицинских осмотров.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имеющихся документов и сведений, Комиссия Управления приходит к выводу об обоснованности указанного довода жалобы и о нарушении Заказчиком положений п.1 ч.1 ст.33 Закона о контрактной системе, а также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наличии в действиях Заказчика признаков состава административного правонарушения, предусмотренного ч.1.4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5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«ЕвроМедХолдинг» на действия государственных заказчиков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5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п.1 ч.1 ст.33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5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35" w:val="left"/>
        </w:tabs>
        <w:bidi w:val="0"/>
        <w:spacing w:before="0" w:after="28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640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К.А. Сомов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64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Э.З. Гугава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76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headerReference w:type="default" r:id="rId11"/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62" w:right="539" w:bottom="1114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2023-18741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1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2023-18741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2023-18741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4.70000000000005pt;width:56.64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2023-18741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427355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3.64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30000000000001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7">
    <w:name w:val="Основной текст (3)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color w:val="1C1C1C"/>
      <w:sz w:val="10"/>
      <w:szCs w:val="1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auto"/>
      <w:spacing w:after="90"/>
      <w:ind w:firstLine="300"/>
    </w:pPr>
    <w:rPr>
      <w:rFonts w:ascii="Arial" w:eastAsia="Arial" w:hAnsi="Arial" w:cs="Arial"/>
      <w:b/>
      <w:bCs/>
      <w:i w:val="0"/>
      <w:iCs w:val="0"/>
      <w:smallCaps w:val="0"/>
      <w:strike w:val="0"/>
      <w:color w:val="1C1C1C"/>
      <w:sz w:val="10"/>
      <w:szCs w:val="1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/Relationships>
</file>