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1784985</wp:posOffset>
            </wp:positionH>
            <wp:positionV relativeFrom="margin">
              <wp:posOffset>0</wp:posOffset>
            </wp:positionV>
            <wp:extent cx="511810" cy="609600"/>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p>
    <w:p>
      <w:pPr>
        <w:widowControl w:val="0"/>
        <w:spacing w:after="594" w:line="1" w:lineRule="exact"/>
      </w:pPr>
    </w:p>
    <w:p>
      <w:pPr>
        <w:widowControl w:val="0"/>
        <w:spacing w:line="1" w:lineRule="exact"/>
        <w:sectPr>
          <w:footnotePr>
            <w:pos w:val="pageBottom"/>
            <w:numFmt w:val="decimal"/>
            <w:numRestart w:val="continuous"/>
          </w:footnotePr>
          <w:pgSz w:w="11900" w:h="16840"/>
          <w:pgMar w:top="298" w:right="1097" w:bottom="1053" w:left="1107" w:header="0" w:footer="625" w:gutter="0"/>
          <w:pgNumType w:start="1"/>
          <w:cols w:space="720"/>
          <w:noEndnote/>
          <w:rtlGutter w:val="0"/>
          <w:docGrid w:linePitch="360"/>
        </w:sectPr>
      </w:pPr>
    </w:p>
    <w:p>
      <w:pPr>
        <w:pStyle w:val="Style2"/>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2"/>
        <w:keepNext w:val="0"/>
        <w:keepLines w:val="0"/>
        <w:widowControl w:val="0"/>
        <w:shd w:val="clear" w:color="auto" w:fill="auto"/>
        <w:tabs>
          <w:tab w:leader="underscore" w:pos="1762" w:val="left"/>
          <w:tab w:leader="underscore" w:pos="3926" w:val="left"/>
        </w:tabs>
        <w:bidi w:val="0"/>
        <w:spacing w:before="0" w:line="240" w:lineRule="auto"/>
        <w:ind w:left="0" w:right="0" w:firstLine="0"/>
        <w:jc w:val="center"/>
      </w:pPr>
      <w:r>
        <w:rPr>
          <w:spacing w:val="0"/>
          <w:w w:val="100"/>
          <w:position w:val="0"/>
          <w:shd w:val="clear" w:color="auto" w:fill="auto"/>
          <w:lang w:val="ru-RU" w:eastAsia="ru-RU" w:bidi="ru-RU"/>
        </w:rPr>
        <w:tab/>
        <w:t xml:space="preserve"> №</w:t>
        <w:tab/>
      </w:r>
    </w:p>
    <w:p>
      <w:pPr>
        <w:pStyle w:val="Style2"/>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 xml:space="preserve">На№  от</w:t>
      </w:r>
    </w:p>
    <w:p>
      <w:pPr>
        <w:pStyle w:val="Style6"/>
        <w:keepNext w:val="0"/>
        <w:keepLines w:val="0"/>
        <w:widowControl w:val="0"/>
        <w:shd w:val="clear" w:color="auto" w:fill="auto"/>
        <w:bidi w:val="0"/>
        <w:spacing w:before="0" w:after="240" w:line="240" w:lineRule="auto"/>
        <w:ind w:left="0" w:right="0" w:firstLine="0"/>
        <w:jc w:val="left"/>
      </w:pPr>
      <w:r>
        <w:rPr>
          <w:color w:val="000000"/>
          <w:spacing w:val="0"/>
          <w:w w:val="100"/>
          <w:position w:val="0"/>
          <w:shd w:val="clear" w:color="auto" w:fill="auto"/>
          <w:lang w:val="ru-RU" w:eastAsia="ru-RU" w:bidi="ru-RU"/>
        </w:rPr>
        <w:t>ГБУЗ «ДГП № 48 ДЗМ»</w:t>
      </w:r>
    </w:p>
    <w:p>
      <w:pPr>
        <w:pStyle w:val="Style6"/>
        <w:keepNext w:val="0"/>
        <w:keepLines w:val="0"/>
        <w:widowControl w:val="0"/>
        <w:shd w:val="clear" w:color="auto" w:fill="auto"/>
        <w:bidi w:val="0"/>
        <w:spacing w:before="0" w:after="240" w:line="240" w:lineRule="auto"/>
        <w:ind w:left="0" w:right="0" w:firstLine="0"/>
        <w:jc w:val="left"/>
      </w:pPr>
      <w:r>
        <w:fldChar w:fldCharType="begin"/>
      </w:r>
      <w:r>
        <w:rPr/>
        <w:instrText> HYPERLINK "mailto:dgp48peo@gmail.com" </w:instrText>
      </w:r>
      <w:r>
        <w:fldChar w:fldCharType="separate"/>
      </w:r>
      <w:r>
        <w:rPr>
          <w:color w:val="000000"/>
          <w:spacing w:val="0"/>
          <w:w w:val="100"/>
          <w:position w:val="0"/>
          <w:shd w:val="clear" w:color="auto" w:fill="auto"/>
          <w:lang w:val="ru-RU" w:eastAsia="ru-RU" w:bidi="ru-RU"/>
        </w:rPr>
        <w:t>4др48рео@дтай.сот</w:t>
      </w:r>
      <w:r>
        <w:fldChar w:fldCharType="end"/>
      </w:r>
    </w:p>
    <w:p>
      <w:pPr>
        <w:pStyle w:val="Style6"/>
        <w:keepNext w:val="0"/>
        <w:keepLines w:val="0"/>
        <w:widowControl w:val="0"/>
        <w:shd w:val="clear" w:color="auto" w:fill="auto"/>
        <w:bidi w:val="0"/>
        <w:spacing w:before="0" w:after="240" w:line="240" w:lineRule="auto"/>
        <w:ind w:left="0" w:right="0" w:firstLine="0"/>
        <w:jc w:val="left"/>
      </w:pPr>
      <w:r>
        <w:rPr>
          <w:color w:val="000000"/>
          <w:spacing w:val="0"/>
          <w:w w:val="100"/>
          <w:position w:val="0"/>
          <w:shd w:val="clear" w:color="auto" w:fill="auto"/>
          <w:lang w:val="ru-RU" w:eastAsia="ru-RU" w:bidi="ru-RU"/>
        </w:rPr>
        <w:t>ООО «Медицина и Торговля»</w:t>
      </w:r>
    </w:p>
    <w:p>
      <w:pPr>
        <w:pStyle w:val="Style6"/>
        <w:keepNext w:val="0"/>
        <w:keepLines w:val="0"/>
        <w:widowControl w:val="0"/>
        <w:shd w:val="clear" w:color="auto" w:fill="auto"/>
        <w:bidi w:val="0"/>
        <w:spacing w:before="0" w:after="240" w:line="240" w:lineRule="auto"/>
        <w:ind w:left="0" w:right="0" w:firstLine="0"/>
        <w:jc w:val="left"/>
      </w:pPr>
      <w:r>
        <w:fldChar w:fldCharType="begin"/>
      </w:r>
      <w:r>
        <w:rPr/>
        <w:instrText> HYPERLINK "mailto:info@mit.msk.ru" </w:instrText>
      </w:r>
      <w:r>
        <w:fldChar w:fldCharType="separate"/>
      </w:r>
      <w:r>
        <w:rPr>
          <w:color w:val="000000"/>
          <w:spacing w:val="0"/>
          <w:w w:val="100"/>
          <w:position w:val="0"/>
          <w:shd w:val="clear" w:color="auto" w:fill="auto"/>
          <w:lang w:val="ru-RU" w:eastAsia="ru-RU" w:bidi="ru-RU"/>
        </w:rPr>
        <w:t>тГо@тй.т8к.ги</w:t>
      </w:r>
      <w:r>
        <w:fldChar w:fldCharType="end"/>
      </w:r>
    </w:p>
    <w:p>
      <w:pPr>
        <w:pStyle w:val="Style6"/>
        <w:keepNext w:val="0"/>
        <w:keepLines w:val="0"/>
        <w:widowControl w:val="0"/>
        <w:shd w:val="clear" w:color="auto" w:fill="auto"/>
        <w:bidi w:val="0"/>
        <w:spacing w:before="0" w:after="240" w:line="240" w:lineRule="auto"/>
        <w:ind w:left="0" w:right="0" w:firstLine="0"/>
        <w:jc w:val="left"/>
      </w:pPr>
      <w:r>
        <w:rPr>
          <w:color w:val="000000"/>
          <w:spacing w:val="0"/>
          <w:w w:val="100"/>
          <w:position w:val="0"/>
          <w:shd w:val="clear" w:color="auto" w:fill="auto"/>
          <w:lang w:val="ru-RU" w:eastAsia="ru-RU" w:bidi="ru-RU"/>
        </w:rPr>
        <w:t>АО «ЕЭТП»</w:t>
      </w:r>
    </w:p>
    <w:p>
      <w:pPr>
        <w:pStyle w:val="Style6"/>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298" w:right="2460" w:bottom="1053" w:left="1140" w:header="0" w:footer="3" w:gutter="0"/>
          <w:cols w:num="2" w:space="720" w:equalWidth="0">
            <w:col w:w="4061" w:space="634"/>
            <w:col w:w="3605"/>
          </w:cols>
          <w:noEndnote/>
          <w:rtlGutter w:val="0"/>
          <w:docGrid w:linePitch="360"/>
        </w:sectPr>
      </w:pPr>
      <w:r>
        <w:rPr>
          <w:color w:val="000000"/>
          <w:spacing w:val="0"/>
          <w:w w:val="100"/>
          <w:position w:val="0"/>
          <w:shd w:val="clear" w:color="auto" w:fill="auto"/>
          <w:lang w:val="ru-RU" w:eastAsia="ru-RU" w:bidi="ru-RU"/>
        </w:rPr>
        <w:t>ко@го§екогд.ги</w:t>
      </w:r>
    </w:p>
    <w:p>
      <w:pPr>
        <w:widowControl w:val="0"/>
        <w:spacing w:line="240" w:lineRule="exact"/>
        <w:rPr>
          <w:sz w:val="19"/>
          <w:szCs w:val="19"/>
        </w:rPr>
      </w:pPr>
    </w:p>
    <w:p>
      <w:pPr>
        <w:widowControl w:val="0"/>
        <w:spacing w:line="240" w:lineRule="exact"/>
        <w:rPr>
          <w:sz w:val="19"/>
          <w:szCs w:val="19"/>
        </w:rPr>
      </w:pPr>
    </w:p>
    <w:p>
      <w:pPr>
        <w:widowControl w:val="0"/>
        <w:spacing w:before="93" w:after="93"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05" w:right="0" w:bottom="972" w:left="0" w:header="0" w:footer="3" w:gutter="0"/>
          <w:cols w:space="720"/>
          <w:noEndnote/>
          <w:rtlGutter w:val="0"/>
          <w:docGrid w:linePitch="360"/>
        </w:sectPr>
      </w:pPr>
    </w:p>
    <w:p>
      <w:pPr>
        <w:pStyle w:val="Style8"/>
        <w:keepNext/>
        <w:keepLines/>
        <w:widowControl w:val="0"/>
        <w:shd w:val="clear" w:color="auto" w:fill="auto"/>
        <w:bidi w:val="0"/>
        <w:spacing w:before="0" w:after="0" w:line="240" w:lineRule="auto"/>
        <w:ind w:left="0" w:right="0" w:firstLine="0"/>
        <w:jc w:val="center"/>
      </w:pPr>
      <w:bookmarkStart w:id="0" w:name="bookmark0"/>
      <w:r>
        <w:rPr>
          <w:color w:val="000000"/>
          <w:spacing w:val="0"/>
          <w:w w:val="100"/>
          <w:position w:val="0"/>
          <w:shd w:val="clear" w:color="auto" w:fill="auto"/>
          <w:lang w:val="ru-RU" w:eastAsia="ru-RU" w:bidi="ru-RU"/>
        </w:rPr>
        <w:t>РЕШЕНИЕ</w:t>
      </w:r>
      <w:bookmarkEnd w:id="0"/>
    </w:p>
    <w:p>
      <w:pPr>
        <w:pStyle w:val="Style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077/06/106-26180-ЭП/23/2023 о нарушении</w:t>
        <w:br/>
        <w:t>законодательства о контрактной системе</w:t>
      </w:r>
    </w:p>
    <w:p>
      <w:pPr>
        <w:pStyle w:val="Style6"/>
        <w:keepNext w:val="0"/>
        <w:keepLines w:val="0"/>
        <w:widowControl w:val="0"/>
        <w:shd w:val="clear" w:color="auto" w:fill="auto"/>
        <w:tabs>
          <w:tab w:pos="8400" w:val="left"/>
        </w:tabs>
        <w:bidi w:val="0"/>
        <w:spacing w:before="0" w:after="0" w:line="240" w:lineRule="auto"/>
        <w:ind w:left="0" w:right="0" w:firstLine="0"/>
        <w:jc w:val="both"/>
      </w:pPr>
      <w:r>
        <w:rPr>
          <w:b/>
          <w:bCs/>
          <w:color w:val="000000"/>
          <w:spacing w:val="0"/>
          <w:w w:val="100"/>
          <w:position w:val="0"/>
          <w:shd w:val="clear" w:color="auto" w:fill="auto"/>
          <w:lang w:val="ru-RU" w:eastAsia="ru-RU" w:bidi="ru-RU"/>
        </w:rPr>
        <w:t>27.04.2023</w:t>
        <w:tab/>
        <w:t>г. Москва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Председательствующего - главного государственного инспектора отдела обжалования государственных закупок С.И. Казарина,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Членов Комиссии: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Специалиста-эксперта отдела обжалования государственных закупок М.О. Мацневой,</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Специалиста 1 разряда отдела обжалования государственных закупок И.И. Фурсикова,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2019-пСоУ,</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участии представителей:</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ГБУЗ «ДГП № 48 ДЗМ»: Т.К. Аляутдинова (по доверенности № б/н от 26.04.2023),</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ООО «Медицина и Торговля»: И.М.Ставер (по доверенности № 6 от 26.12.2022),</w:t>
      </w:r>
    </w:p>
    <w:p>
      <w:pPr>
        <w:pStyle w:val="Style6"/>
        <w:keepNext w:val="0"/>
        <w:keepLines w:val="0"/>
        <w:widowControl w:val="0"/>
        <w:shd w:val="clear" w:color="auto" w:fill="auto"/>
        <w:bidi w:val="0"/>
        <w:spacing w:before="0" w:after="280" w:line="240" w:lineRule="auto"/>
        <w:ind w:left="0" w:right="0" w:firstLine="700"/>
        <w:jc w:val="both"/>
      </w:pPr>
      <w:r>
        <w:rPr>
          <w:color w:val="000000"/>
          <w:spacing w:val="0"/>
          <w:w w:val="100"/>
          <w:position w:val="0"/>
          <w:shd w:val="clear" w:color="auto" w:fill="auto"/>
          <w:lang w:val="ru-RU" w:eastAsia="ru-RU" w:bidi="ru-RU"/>
        </w:rPr>
        <w:t xml:space="preserve">рассмотрев жалобу ООО «Медицина и Торговля» (далее — Заявитель) на действия ГБУЗ «ДГП № 48 ДЗМ» (далее — Заказчик) при проведении электронного аукциона на право заключения государственного контракта на поставку медицинского расходного материала (лот 9) для нужд ГБУЗ «ДГП №48 ДЗМ» (Закупка № 0373200068023000032) (далее - аукцион), в соответствии с Федеральным законом от 05.04.2013 №44-ФЗ «О </w:t>
      </w:r>
      <w:r>
        <w:rPr>
          <w:color w:val="000000"/>
          <w:spacing w:val="0"/>
          <w:w w:val="100"/>
          <w:position w:val="0"/>
          <w:shd w:val="clear" w:color="auto" w:fill="auto"/>
          <w:lang w:val="ru-RU" w:eastAsia="ru-RU" w:bidi="ru-RU"/>
        </w:rPr>
        <w:t>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6"/>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вышеуказанного электронного аукциона.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запрашиваемые письмом Московского УФАС России (исх. № ЕИ/18087/23 от 25.04.2023), Комиссия Управления установила следующее.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Согласно протоколу подведения итогов определения поставщика (подрядчика, исполнителя) от 20.04.2023 №ИЭА1 заявка Заявителя (номер заявки 3) признана не соответствующей требованиям аукционной документации на следующем основании: </w:t>
      </w:r>
      <w:r>
        <w:rPr>
          <w:i/>
          <w:iCs/>
          <w:color w:val="000000"/>
          <w:spacing w:val="0"/>
          <w:w w:val="100"/>
          <w:position w:val="0"/>
          <w:shd w:val="clear" w:color="auto" w:fill="auto"/>
          <w:lang w:val="ru-RU" w:eastAsia="ru-RU" w:bidi="ru-RU"/>
        </w:rPr>
        <w:t>«Участник в составе заявки прикладывает РУ ФСР 2012/14194 от 24.07.2018 г. РУ представлен на комплекты медицинские одноразовые из нетканных материалов "Агат-А” стерильные и нестерильные по ТУ 9398-004-38265586-2012. На отдельную позицию согласно техническому заданию РУ не представлено»</w:t>
      </w:r>
      <w:r>
        <w:rPr>
          <w:color w:val="000000"/>
          <w:spacing w:val="0"/>
          <w:w w:val="100"/>
          <w:position w:val="0"/>
          <w:shd w:val="clear" w:color="auto" w:fill="auto"/>
          <w:lang w:val="ru-RU" w:eastAsia="ru-RU" w:bidi="ru-RU"/>
        </w:rPr>
        <w:t>.</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п.3 ч.2 ст.42 Закона о контрактной системе, извещение об осуществлении закупки должно содержать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силу ч.2 ст.33 Закона о контрактной системе документация о закупке в соответствии с требованиями, указанными в ч.1 ст.33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Комиссией Управления установлено, что Заказчиком в Техническом задании установлены требования к закупаемому товару по п.1: «Простыня для инструментов/оборудования, одноразового использования, нестерильная: «Длина: &gt;= 140 &lt;= 150 см.,Материал: Нетканый, Плотность, г/м2: &gt;= 24 &lt;= 34., Фасовка: Пакет. Ширина: &gt;= 70 &lt;= 79 см».</w:t>
      </w:r>
    </w:p>
    <w:p>
      <w:pPr>
        <w:pStyle w:val="Style6"/>
        <w:keepNext w:val="0"/>
        <w:keepLines w:val="0"/>
        <w:widowControl w:val="0"/>
        <w:shd w:val="clear" w:color="auto" w:fill="auto"/>
        <w:bidi w:val="0"/>
        <w:spacing w:before="0" w:after="280" w:line="240" w:lineRule="auto"/>
        <w:ind w:left="0" w:right="0" w:firstLine="700"/>
        <w:jc w:val="both"/>
      </w:pPr>
      <w:r>
        <w:rPr>
          <w:color w:val="000000"/>
          <w:spacing w:val="0"/>
          <w:w w:val="100"/>
          <w:position w:val="0"/>
          <w:shd w:val="clear" w:color="auto" w:fill="auto"/>
          <w:lang w:val="ru-RU" w:eastAsia="ru-RU" w:bidi="ru-RU"/>
        </w:rPr>
        <w:t>В соответствии с п. 2 ч. 1 ст. 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w:t>
      </w:r>
    </w:p>
    <w:p>
      <w:pPr>
        <w:pStyle w:val="Style6"/>
        <w:keepNext w:val="0"/>
        <w:keepLines w:val="0"/>
        <w:widowControl w:val="0"/>
        <w:numPr>
          <w:ilvl w:val="0"/>
          <w:numId w:val="1"/>
        </w:numPr>
        <w:shd w:val="clear" w:color="auto" w:fill="auto"/>
        <w:tabs>
          <w:tab w:pos="1099"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 учетом положений ч. 2 ст.43 Закона о контрактной системе характеристики предлагаемого участником закупки товара, соответствующие показателям, установленным в описании объекта закупки в соответствии с ч. 2 ст. 33 Закона о контрактной системе, товарный знак (при наличии у товара товарного знака).</w:t>
      </w:r>
    </w:p>
    <w:p>
      <w:pPr>
        <w:pStyle w:val="Style6"/>
        <w:keepNext w:val="0"/>
        <w:keepLines w:val="0"/>
        <w:widowControl w:val="0"/>
        <w:numPr>
          <w:ilvl w:val="0"/>
          <w:numId w:val="1"/>
        </w:numPr>
        <w:shd w:val="clear" w:color="auto" w:fill="auto"/>
        <w:tabs>
          <w:tab w:pos="1099"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 2 ст. 43 Закона о контрактной системе;</w:t>
      </w:r>
    </w:p>
    <w:p>
      <w:pPr>
        <w:pStyle w:val="Style6"/>
        <w:keepNext w:val="0"/>
        <w:keepLines w:val="0"/>
        <w:widowControl w:val="0"/>
        <w:numPr>
          <w:ilvl w:val="0"/>
          <w:numId w:val="1"/>
        </w:numPr>
        <w:shd w:val="clear" w:color="auto" w:fill="auto"/>
        <w:tabs>
          <w:tab w:pos="1099"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6"/>
        <w:keepNext w:val="0"/>
        <w:keepLines w:val="0"/>
        <w:widowControl w:val="0"/>
        <w:numPr>
          <w:ilvl w:val="0"/>
          <w:numId w:val="1"/>
        </w:numPr>
        <w:shd w:val="clear" w:color="auto" w:fill="auto"/>
        <w:tabs>
          <w:tab w:pos="1099"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с учетом положений ч. 2 ст. 43 Закона о контрактной системе предложение по критериям, предусмотренным п. 2 и (или) 3 ч. 1 ст. 32 Закона о контрактной системе(в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w:t>
      </w:r>
    </w:p>
    <w:p>
      <w:pPr>
        <w:pStyle w:val="Style6"/>
        <w:keepNext w:val="0"/>
        <w:keepLines w:val="0"/>
        <w:widowControl w:val="0"/>
        <w:numPr>
          <w:ilvl w:val="0"/>
          <w:numId w:val="1"/>
        </w:numPr>
        <w:shd w:val="clear" w:color="auto" w:fill="auto"/>
        <w:tabs>
          <w:tab w:pos="1099"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Комиссией Управления установлено, что Заявителем предложены к поставке изделия по п. 1: «Комплект белья постельного из нетканых материалов одноразовый нестерильный в составе: Простыня хирургическая: Простыня для инструментов/оборудования, одноразового использования, нестерильная: Длина: 140 см., Материал: Нетканый., Плотность, г/м2: 25., Фасовка: Пакет, Ширина: 79 см».</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Одновременно с этим в составе заявки Заявителя представлено регистрационное удостоверение № ФСР 2012/14194 от 24.07.2018 на комплекты медицинские одноразовые из нетканых материалов «Агат-А» стерильные и нестерильные по ТУ 9398-004-38265586-2012, производителя ООО «ТД АгатМед», Россия.</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 1 ст.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На заседании Комиссии Управления представитель Заказчика пояснил, что заявка заявителя была отклонена на основании того, что в составе </w:t>
      </w:r>
      <w:r>
        <w:rPr>
          <w:color w:val="000000"/>
          <w:spacing w:val="0"/>
          <w:w w:val="100"/>
          <w:position w:val="0"/>
          <w:shd w:val="clear" w:color="auto" w:fill="auto"/>
          <w:lang w:val="ru-RU" w:eastAsia="ru-RU" w:bidi="ru-RU"/>
        </w:rPr>
        <w:t xml:space="preserve">заявки Заявителя было приложено регистрационное удостоверение на № ФСР 2012/14194 от 24.07.2018 на </w:t>
      </w:r>
      <w:r>
        <w:rPr>
          <w:i/>
          <w:iCs/>
          <w:color w:val="000000"/>
          <w:spacing w:val="0"/>
          <w:w w:val="100"/>
          <w:position w:val="0"/>
          <w:u w:val="single"/>
          <w:shd w:val="clear" w:color="auto" w:fill="auto"/>
          <w:lang w:val="ru-RU" w:eastAsia="ru-RU" w:bidi="ru-RU"/>
        </w:rPr>
        <w:t>комплекты</w:t>
      </w:r>
      <w:r>
        <w:rPr>
          <w:color w:val="000000"/>
          <w:spacing w:val="0"/>
          <w:w w:val="100"/>
          <w:position w:val="0"/>
          <w:shd w:val="clear" w:color="auto" w:fill="auto"/>
          <w:lang w:val="ru-RU" w:eastAsia="ru-RU" w:bidi="ru-RU"/>
        </w:rPr>
        <w:t xml:space="preserve"> медицинские одноразовые из нетканых материалов «Агат-А» стерильные и нестерильные по ТУ 9398</w:t>
        <w:softHyphen/>
        <w:t>004-38265586-2012, производителя ООО «ТД АгатМед», при этом закупаемым товаром является только «Простыня для инструментов/оборудования, одноразового использования, нестерильная».</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основании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представитель Заявителя пояснил, что предлагаемое к поставке изделие входит в состав комплекта, указанного в регистрационном удостоверении на медицинские изделия от 24.07.2018 года № ФСР 2012/14194, которое было приложено в составе заявки.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Также на заседании Комиссии Управления представитель Заявителя пояснил, что действующим законодательством не установлено императивное требование о регистрации всех принадлежностей медицинского изделия, ввиду чего выводы комиссии Заказчика, что предложенный к поставке набор не отвечает требованиям документации, не состоятельны.</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Вместе с тем в силу ч.4 ст.38 Закона об основах охраны здоровья на территории Российской Федерации разрешается обращение медицинских изделий, зарегистрированных в порядке, установленном Правительством Российской Федерации, уполномоченным им федеральным органом исполнительной власти.</w:t>
      </w:r>
    </w:p>
    <w:p>
      <w:pPr>
        <w:pStyle w:val="Style6"/>
        <w:keepNext w:val="0"/>
        <w:keepLines w:val="0"/>
        <w:widowControl w:val="0"/>
        <w:shd w:val="clear" w:color="auto" w:fill="auto"/>
        <w:tabs>
          <w:tab w:pos="64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Постановлением Правительства Российской Федерации от 27.12.2012 №</w:t>
        <w:tab/>
        <w:t>1416 «Об утверждении Правил государственной регистрации</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медицинских изделий» утверждены правила государственной регистрации медицинских изделий (далее — Правила).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п.2 Правил государственной регистрации подлежат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(изготовителем)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П.6 Правил установлено, что документом, подтверждающим факт государственной регистрации медицинского изделия, является регистрационное удостоверение на медицинское изделие.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 учетом вышеизложенного, действующим законодательством предусмотрено, что обязательным документом, подтверждающим возможность оборота на территории Российской Федерации медицинского изделия, является регистрационное удостоверение.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этом Комиссия Управления отмечает, что согласно пп. «а» п. 9 Правил государственной регистрации медицинских изделий в заявлении о государственной регистрации медицинского изделия указываются в том числе наименование медицинского изделия (с указанием принадлежностей, необходимых для применения медицинского изделия по назначению).</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свою очередь п. 14 Правил государственной регистрации медицинских изделий определено, что регистрирующий орган не вправе требовать от заявителя указывать в заявлении о регистрации сведения, не предусмотренные п. 9 Правил государственной регистрации медицинских изделий, и представлять документы, не предусмотренные п. 10 Правил государственной регистрации медицинских изделий.</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пп. «а» п. 56 Правил государственной регистрации медицинских изделий в регистрационном удостоверении указывается в том числе наименование медицинского изделия (с указанием принадлежностей, необходимых для применения медицинского изделия по назначению).</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основании вышеизложенного, в регистрационном удостоверении могут быть указаны принадлежности, которые не требуют отдельной регистрации медицинского изделия, в связи с чем Комиссия Управления приходит к выводу, что подтверждение регистрации поставляемого медицинского изделия путем представления регистрационного удостоверения на комплект изделий, в состав которого входит поставляемый товар, не противоречит действующим нормам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Более того, Законом о контрактной системе вменена обязанность участника закупки представить документ, подтверждающий соответствие товара требованиям, установленным в соответствии с законодательством Российской Федерации, что и было сделано Заявителем, при этом факт регистрации комплекта изделий не свидетельствует о том, что простыня, включенная в комплект не является зарегистрированным изделием.</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В силу пп. «а» п.1 ч.5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 4 ч. 4 ст. 49 Закона о контрактной системе, и принимают решение о признании заявки на участие в закупке соответствующей </w:t>
      </w:r>
      <w:r>
        <w:rPr>
          <w:color w:val="000000"/>
          <w:spacing w:val="0"/>
          <w:w w:val="100"/>
          <w:position w:val="0"/>
          <w:shd w:val="clear" w:color="auto" w:fill="auto"/>
          <w:lang w:val="ru-RU" w:eastAsia="ru-RU" w:bidi="ru-RU"/>
        </w:rPr>
        <w:t>извещению об осуществлении закупки или об отклонении заявки на участие в закупке по основаниям, предусмотренным пп. 1-8 ч. 12 ст. 48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6"/>
        <w:keepNext w:val="0"/>
        <w:keepLines w:val="0"/>
        <w:widowControl w:val="0"/>
        <w:numPr>
          <w:ilvl w:val="0"/>
          <w:numId w:val="3"/>
        </w:numPr>
        <w:shd w:val="clear" w:color="auto" w:fill="auto"/>
        <w:tabs>
          <w:tab w:pos="118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6"/>
        <w:keepNext w:val="0"/>
        <w:keepLines w:val="0"/>
        <w:widowControl w:val="0"/>
        <w:numPr>
          <w:ilvl w:val="0"/>
          <w:numId w:val="3"/>
        </w:numPr>
        <w:shd w:val="clear" w:color="auto" w:fill="auto"/>
        <w:tabs>
          <w:tab w:pos="118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непредставления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6"/>
        <w:keepNext w:val="0"/>
        <w:keepLines w:val="0"/>
        <w:widowControl w:val="0"/>
        <w:numPr>
          <w:ilvl w:val="0"/>
          <w:numId w:val="3"/>
        </w:numPr>
        <w:shd w:val="clear" w:color="auto" w:fill="auto"/>
        <w:tabs>
          <w:tab w:pos="118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 1 ст. 31 Закона о контрактной системе, требованиям, установленным в извещении об осуществлении закупки в соответствии с ч. 1.1, 2 и 2.1 (при наличии таких требований) ст. 31 Закона о контрактной системе;</w:t>
      </w:r>
    </w:p>
    <w:p>
      <w:pPr>
        <w:pStyle w:val="Style6"/>
        <w:keepNext w:val="0"/>
        <w:keepLines w:val="0"/>
        <w:widowControl w:val="0"/>
        <w:numPr>
          <w:ilvl w:val="0"/>
          <w:numId w:val="3"/>
        </w:numPr>
        <w:shd w:val="clear" w:color="auto" w:fill="auto"/>
        <w:tabs>
          <w:tab w:pos="118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предусмотренных нормативными правовыми актами, принятыми в соответствии со ст. 14 Закона о контрактной системе (за исключением случаев непредставления информации и документов, предусмотренных п. 5 ч. 1 ст. 43 Закона о контрактной системе);</w:t>
      </w:r>
    </w:p>
    <w:p>
      <w:pPr>
        <w:pStyle w:val="Style6"/>
        <w:keepNext w:val="0"/>
        <w:keepLines w:val="0"/>
        <w:widowControl w:val="0"/>
        <w:numPr>
          <w:ilvl w:val="0"/>
          <w:numId w:val="3"/>
        </w:numPr>
        <w:shd w:val="clear" w:color="auto" w:fill="auto"/>
        <w:tabs>
          <w:tab w:pos="118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непредставления информации и документов, предусмотренных п. 5 ч. 1 ст. 43 Закона о контрактной системе, если такие документы предусмотрены нормативными правовыми актами, принятыми в соответствии с ч. 3 ст. 14 Закона о контрактной системе (в случае установления в соответствии со ст. 14 Закона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6"/>
        <w:keepNext w:val="0"/>
        <w:keepLines w:val="0"/>
        <w:widowControl w:val="0"/>
        <w:numPr>
          <w:ilvl w:val="0"/>
          <w:numId w:val="3"/>
        </w:numPr>
        <w:shd w:val="clear" w:color="auto" w:fill="auto"/>
        <w:tabs>
          <w:tab w:pos="118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выявления отнесения участника закупки к организациям, предусмотренным п. 4 ст.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6"/>
        <w:keepNext w:val="0"/>
        <w:keepLines w:val="0"/>
        <w:widowControl w:val="0"/>
        <w:numPr>
          <w:ilvl w:val="0"/>
          <w:numId w:val="3"/>
        </w:numPr>
        <w:shd w:val="clear" w:color="auto" w:fill="auto"/>
        <w:tabs>
          <w:tab w:pos="188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предусмотренных ч. 6 ст. 45 Закона о контрактной системе;</w:t>
      </w:r>
    </w:p>
    <w:p>
      <w:pPr>
        <w:pStyle w:val="Style6"/>
        <w:keepNext w:val="0"/>
        <w:keepLines w:val="0"/>
        <w:widowControl w:val="0"/>
        <w:numPr>
          <w:ilvl w:val="0"/>
          <w:numId w:val="3"/>
        </w:numPr>
        <w:shd w:val="clear" w:color="auto" w:fill="auto"/>
        <w:tabs>
          <w:tab w:pos="118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6"/>
        <w:keepNext w:val="0"/>
        <w:keepLines w:val="0"/>
        <w:widowControl w:val="0"/>
        <w:numPr>
          <w:ilvl w:val="0"/>
          <w:numId w:val="3"/>
        </w:numPr>
        <w:shd w:val="clear" w:color="auto" w:fill="auto"/>
        <w:tabs>
          <w:tab w:pos="118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указания информации о предложении участника закупки, предусмотренном п. 3 или п. 4 ч. 1 ст. 43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Комиссия Управления приходит к выводу о том, что решение комиссии Заказчика об отклонении заявки Заявителя по основанию, отраженному в протоколе подведения итогов электронного аукциона, является неправомерным и принято в нарушение пп. «а» п.1 ч.5 ст. 49 Закона о контрактной системе, что содержит признаки состава административного правонарушения, ответственность за которое предусмотрена ч.2 ст. 7.30 Кодекса Российской Федерации об административных правонарушениях.</w:t>
      </w:r>
    </w:p>
    <w:p>
      <w:pPr>
        <w:pStyle w:val="Style6"/>
        <w:keepNext w:val="0"/>
        <w:keepLines w:val="0"/>
        <w:widowControl w:val="0"/>
        <w:shd w:val="clear" w:color="auto" w:fill="auto"/>
        <w:bidi w:val="0"/>
        <w:spacing w:before="0" w:after="280" w:line="240" w:lineRule="auto"/>
        <w:ind w:left="0" w:right="0" w:firstLine="70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6"/>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 Е Ш И Л 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1 .Признать жалобу ООО «Медицина и Торговля» на действия комиссии ГБУЗ «ДГП № 48 ДЗМ» обоснованной.</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2.Признать в действиях Заказчика нарушения пп. «а» п.1 ч.5 ст. 49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3.Выдать Заказчику обязательное для исполнения предписание об устранении нарушений законодательства о контрактной системе.</w:t>
      </w:r>
    </w:p>
    <w:p>
      <w:pPr>
        <w:pStyle w:val="Style6"/>
        <w:keepNext w:val="0"/>
        <w:keepLines w:val="0"/>
        <w:widowControl w:val="0"/>
        <w:shd w:val="clear" w:color="auto" w:fill="auto"/>
        <w:bidi w:val="0"/>
        <w:spacing w:before="0" w:after="280" w:line="240" w:lineRule="auto"/>
        <w:ind w:left="0" w:right="0" w:firstLine="700"/>
        <w:jc w:val="both"/>
      </w:pPr>
      <w:r>
        <w:rPr>
          <w:color w:val="000000"/>
          <w:spacing w:val="0"/>
          <w:w w:val="100"/>
          <w:position w:val="0"/>
          <w:shd w:val="clear" w:color="auto" w:fill="auto"/>
          <w:lang w:val="ru-RU" w:eastAsia="ru-RU" w:bidi="ru-RU"/>
        </w:rPr>
        <w:t>4.Передать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6"/>
        <w:keepNext w:val="0"/>
        <w:keepLines w:val="0"/>
        <w:widowControl w:val="0"/>
        <w:shd w:val="clear" w:color="auto" w:fill="auto"/>
        <w:bidi w:val="0"/>
        <w:spacing w:before="0" w:after="280" w:line="240" w:lineRule="auto"/>
        <w:ind w:left="0" w:right="0" w:firstLine="700"/>
        <w:jc w:val="both"/>
      </w:pPr>
      <w:r>
        <w:rPr>
          <w:color w:val="000000"/>
          <w:spacing w:val="0"/>
          <w:w w:val="100"/>
          <w:position w:val="0"/>
          <w:shd w:val="clear" w:color="auto" w:fill="auto"/>
          <w:lang w:val="ru-RU" w:eastAsia="ru-RU" w:bidi="ru-RU"/>
        </w:rPr>
        <w:t>Решение может быть обжаловано в суде (Арбитражном суде г. Москвы) в порядке, установленном гл. 24 АПК РФ, в течение 3(трех) месяцев с даты его принятия.</w:t>
      </w:r>
    </w:p>
    <w:p>
      <w:pPr>
        <w:pStyle w:val="Style6"/>
        <w:keepNext w:val="0"/>
        <w:keepLines w:val="0"/>
        <w:widowControl w:val="0"/>
        <w:shd w:val="clear" w:color="auto" w:fill="auto"/>
        <w:tabs>
          <w:tab w:pos="7805" w:val="left"/>
        </w:tabs>
        <w:bidi w:val="0"/>
        <w:spacing w:before="0" w:after="280" w:line="240" w:lineRule="auto"/>
        <w:ind w:left="0" w:right="0" w:firstLine="0"/>
        <w:jc w:val="both"/>
      </w:pPr>
      <w:r>
        <w:rPr>
          <w:color w:val="000000"/>
          <w:spacing w:val="0"/>
          <w:w w:val="100"/>
          <w:position w:val="0"/>
          <w:shd w:val="clear" w:color="auto" w:fill="auto"/>
          <w:lang w:val="ru-RU" w:eastAsia="ru-RU" w:bidi="ru-RU"/>
        </w:rPr>
        <w:t>Председательствующий</w:t>
        <w:tab/>
        <w:t>С.И.Казарин</w:t>
      </w:r>
    </w:p>
    <w:p>
      <w:pPr>
        <w:pStyle w:val="Style6"/>
        <w:keepNext w:val="0"/>
        <w:keepLines w:val="0"/>
        <w:widowControl w:val="0"/>
        <w:shd w:val="clear" w:color="auto" w:fill="auto"/>
        <w:tabs>
          <w:tab w:pos="7805" w:val="left"/>
        </w:tabs>
        <w:bidi w:val="0"/>
        <w:spacing w:before="0" w:after="280" w:line="240" w:lineRule="auto"/>
        <w:ind w:left="0" w:right="0" w:firstLine="0"/>
        <w:jc w:val="both"/>
      </w:pPr>
      <w:r>
        <w:rPr>
          <w:color w:val="000000"/>
          <w:spacing w:val="0"/>
          <w:w w:val="100"/>
          <w:position w:val="0"/>
          <w:shd w:val="clear" w:color="auto" w:fill="auto"/>
          <w:lang w:val="ru-RU" w:eastAsia="ru-RU" w:bidi="ru-RU"/>
        </w:rPr>
        <w:t>Члены Комиссии</w:t>
        <w:tab/>
        <w:t>М.О.Мацнева</w:t>
      </w:r>
    </w:p>
    <w:p>
      <w:pPr>
        <w:pStyle w:val="Style6"/>
        <w:keepNext w:val="0"/>
        <w:keepLines w:val="0"/>
        <w:widowControl w:val="0"/>
        <w:shd w:val="clear" w:color="auto" w:fill="auto"/>
        <w:bidi w:val="0"/>
        <w:spacing w:before="0" w:after="2940" w:line="240" w:lineRule="auto"/>
        <w:ind w:left="0" w:right="0" w:firstLine="0"/>
        <w:jc w:val="right"/>
      </w:pPr>
      <w:r>
        <w:rPr>
          <w:color w:val="000000"/>
          <w:spacing w:val="0"/>
          <w:w w:val="100"/>
          <w:position w:val="0"/>
          <w:shd w:val="clear" w:color="auto" w:fill="auto"/>
          <w:lang w:val="ru-RU" w:eastAsia="ru-RU" w:bidi="ru-RU"/>
        </w:rPr>
        <w:t>И.И.Фурсиков</w:t>
      </w:r>
    </w:p>
    <w:p>
      <w:pPr>
        <w:pStyle w:val="Style2"/>
        <w:keepNext w:val="0"/>
        <w:keepLines w:val="0"/>
        <w:widowControl w:val="0"/>
        <w:shd w:val="clear" w:color="auto" w:fill="auto"/>
        <w:bidi w:val="0"/>
        <w:spacing w:before="0" w:after="280" w:line="240" w:lineRule="auto"/>
        <w:ind w:left="0" w:right="0" w:firstLine="0"/>
        <w:jc w:val="both"/>
      </w:pPr>
      <w:r>
        <w:rPr>
          <w:color w:val="000000"/>
          <w:spacing w:val="0"/>
          <w:w w:val="100"/>
          <w:position w:val="0"/>
          <w:shd w:val="clear" w:color="auto" w:fill="auto"/>
          <w:lang w:val="ru-RU" w:eastAsia="ru-RU" w:bidi="ru-RU"/>
        </w:rPr>
        <w:t>Исп. Фурсиков И.И. 8 (495)784-75-05</w:t>
      </w:r>
    </w:p>
    <w:sectPr>
      <w:footnotePr>
        <w:pos w:val="pageBottom"/>
        <w:numFmt w:val="decimal"/>
        <w:numRestart w:val="continuous"/>
      </w:footnotePr>
      <w:type w:val="continuous"/>
      <w:pgSz w:w="11900" w:h="16840"/>
      <w:pgMar w:top="1105" w:right="1105" w:bottom="972" w:left="1100" w:header="0" w:footer="544"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color w:val="425FA6"/>
      <w:sz w:val="19"/>
      <w:szCs w:val="19"/>
      <w:u w:val="none"/>
    </w:rPr>
  </w:style>
  <w:style w:type="character" w:customStyle="1" w:styleId="CharStyle7">
    <w:name w:val="Основной текст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9">
    <w:name w:val="Заголовок №1_"/>
    <w:basedOn w:val="DefaultParagraphFont"/>
    <w:link w:val="Style8"/>
    <w:rPr>
      <w:rFonts w:ascii="Times New Roman" w:eastAsia="Times New Roman" w:hAnsi="Times New Roman" w:cs="Times New Roman"/>
      <w:b/>
      <w:bCs/>
      <w:i w:val="0"/>
      <w:iCs w:val="0"/>
      <w:smallCaps w:val="0"/>
      <w:strike w:val="0"/>
      <w:sz w:val="28"/>
      <w:szCs w:val="28"/>
      <w:u w:val="none"/>
    </w:rPr>
  </w:style>
  <w:style w:type="paragraph" w:customStyle="1" w:styleId="Style2">
    <w:name w:val="Основной текст (2)"/>
    <w:basedOn w:val="Normal"/>
    <w:link w:val="CharStyle3"/>
    <w:pPr>
      <w:widowControl w:val="0"/>
      <w:shd w:val="clear" w:color="auto" w:fill="auto"/>
      <w:spacing w:after="260"/>
      <w:jc w:val="center"/>
    </w:pPr>
    <w:rPr>
      <w:rFonts w:ascii="Times New Roman" w:eastAsia="Times New Roman" w:hAnsi="Times New Roman" w:cs="Times New Roman"/>
      <w:b w:val="0"/>
      <w:bCs w:val="0"/>
      <w:i w:val="0"/>
      <w:iCs w:val="0"/>
      <w:smallCaps w:val="0"/>
      <w:strike w:val="0"/>
      <w:color w:val="425FA6"/>
      <w:sz w:val="19"/>
      <w:szCs w:val="19"/>
      <w:u w:val="none"/>
    </w:rPr>
  </w:style>
  <w:style w:type="paragraph" w:customStyle="1" w:styleId="Style6">
    <w:name w:val="Основной текст"/>
    <w:basedOn w:val="Normal"/>
    <w:link w:val="CharStyle7"/>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8">
    <w:name w:val="Заголовок №1"/>
    <w:basedOn w:val="Normal"/>
    <w:link w:val="CharStyle9"/>
    <w:pPr>
      <w:widowControl w:val="0"/>
      <w:shd w:val="clear" w:color="auto" w:fill="auto"/>
      <w:jc w:val="center"/>
      <w:outlineLvl w:val="0"/>
    </w:pPr>
    <w:rPr>
      <w:rFonts w:ascii="Times New Roman" w:eastAsia="Times New Roman" w:hAnsi="Times New Roman" w:cs="Times New Roman"/>
      <w:b/>
      <w:bCs/>
      <w:i w:val="0"/>
      <w:iCs w:val="0"/>
      <w:smallCaps w:val="0"/>
      <w:strike w:val="0"/>
      <w:sz w:val="28"/>
      <w:szCs w:val="2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s>
</file>