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1784985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98" w:right="1102" w:bottom="1279" w:left="1107" w:header="0" w:footer="851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ГБУЗ «ДГП № 48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4др48рео@дтай.сот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ООО «Медицина и Торговля»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тГо@тй.т8к.ги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2460" w:bottom="1279" w:left="1140" w:header="0" w:footer="3" w:gutter="0"/>
          <w:cols w:num="2" w:space="720" w:equalWidth="0">
            <w:col w:w="4061" w:space="634"/>
            <w:col w:w="3605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ко@го§екогд.ги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3" w:after="9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1" w:right="0" w:bottom="92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077/06/106-26180-ЭП/23/2023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390" w:val="left"/>
        </w:tabs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27.04.2023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20"/>
        <w:jc w:val="both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И.И. Фурсикова,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27.04.2023 по делу №077/06/106- 26180-ЭП/23/2023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по итогам рассмотрения жалобы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ООО «Медицина и Торговля» на действия ГБУЗ «ДГП № 48 ДЗМ» (далее — Заказчик) при проведении электронного аукциона на право заключения государственного контракта на поставку медицинского расходного материала (лот 9) для нужд ГБУЗ «ДГП №48 ДЗМ» (Закупка № 0373200068023000032)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57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по осуществлению закупок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27.04.2023 по делу №077/06/106-26180-ЭП/23/2023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27.04.2023 по делу №077/06/106-26180-ЭП/23/2023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24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26.05.2023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^о77@{а8.доV.^и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3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</w:t>
        <w:tab/>
        <w:t>ст.19.5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20"/>
        <w:jc w:val="both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от 27.04.2023 по делу №077/06/106-26180-ЭП/23/2023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может быть обжаловано в судебном порядке в</w:t>
        <w:br w:type="page"/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  <w:rPr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5665470</wp:posOffset>
                </wp:positionH>
                <wp:positionV relativeFrom="paragraph">
                  <wp:posOffset>12700</wp:posOffset>
                </wp:positionV>
                <wp:extent cx="1170305" cy="95123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0305" cy="951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С.И.Казарин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М.О.Мацнева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И.И.Фурсиков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446.10000000000002pt;margin-top:1.pt;width:92.150000000000006pt;height:74.900000000000006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С.И.Казарин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М.О.Мацнева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И.И.Фурсиков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Председательствующий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14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Члены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Фурсиков И.И. 8 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1" w:right="1106" w:bottom="927" w:left="1103" w:header="0" w:footer="499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spacing w:line="259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