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4575" simplePos="0" relativeHeight="125829378" behindDoc="0" locked="0" layoutInCell="1" allowOverlap="1">
                <wp:simplePos x="0" y="0"/>
                <wp:positionH relativeFrom="page">
                  <wp:posOffset>566420</wp:posOffset>
                </wp:positionH>
                <wp:positionV relativeFrom="paragraph">
                  <wp:posOffset>15875</wp:posOffset>
                </wp:positionV>
                <wp:extent cx="2590165" cy="1261745"/>
                <wp:wrapTopAndBottom/>
                <wp:docPr id="1" name="Shape 1"/>
                <a:graphic xmlns:a="http://schemas.openxmlformats.org/drawingml/2006/main">
                  <a:graphicData uri="http://schemas.microsoft.com/office/word/2010/wordprocessingShape">
                    <wps:wsp>
                      <wps:cNvSpPr txBox="1"/>
                      <wps:spPr>
                        <a:xfrm>
                          <a:ext cx="2590165" cy="1261745"/>
                        </a:xfrm>
                        <a:prstGeom prst="rect"/>
                        <a:noFill/>
                      </wps:spPr>
                      <wps:txbx>
                        <w:txbxContent>
                          <w:p>
                            <w:pPr>
                              <w:pStyle w:val="Style2"/>
                              <w:keepNext w:val="0"/>
                              <w:keepLines w:val="0"/>
                              <w:widowControl w:val="0"/>
                              <w:shd w:val="clear" w:color="auto" w:fill="auto"/>
                              <w:bidi w:val="0"/>
                              <w:spacing w:before="0" w:after="30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4.600000000000001pt;margin-top:1.25pt;width:203.95000000000002pt;height:99.350000000000009pt;z-index:-125829375;mso-wrap-distance-left:9.pt;mso-wrap-distance-right:82.25pt;mso-wrap-distance-bottom:7.pt;mso-position-horizontal-relative:page" filled="f" stroked="f">
                <v:textbox inset="0,0,0,0">
                  <w:txbxContent>
                    <w:p>
                      <w:pPr>
                        <w:pStyle w:val="Style2"/>
                        <w:keepNext w:val="0"/>
                        <w:keepLines w:val="0"/>
                        <w:widowControl w:val="0"/>
                        <w:shd w:val="clear" w:color="auto" w:fill="auto"/>
                        <w:bidi w:val="0"/>
                        <w:spacing w:before="0" w:after="30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23190" distB="553085" distL="3063240" distR="114300" simplePos="0" relativeHeight="125829380" behindDoc="0" locked="0" layoutInCell="1" allowOverlap="1">
            <wp:simplePos x="0" y="0"/>
            <wp:positionH relativeFrom="page">
              <wp:posOffset>3515360</wp:posOffset>
            </wp:positionH>
            <wp:positionV relativeFrom="paragraph">
              <wp:posOffset>139065</wp:posOffset>
            </wp:positionV>
            <wp:extent cx="572770" cy="67691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72770" cy="676910"/>
                    </a:xfrm>
                    <a:prstGeom prst="rect"/>
                  </pic:spPr>
                </pic:pic>
              </a:graphicData>
            </a:graphic>
          </wp:anchor>
        </w:drawing>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Ю16(аТа$.§ОУ.ги</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МОНОПОЛИЯГО КАРШЫ</w:t>
        <w:br/>
        <w:t>ФЕДЕРАЛЬ ХЕЗМ0Т</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Монополиям карты</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 хезмэтнен</w:t>
        <w:br/>
        <w:t>Татарстан Республикасы</w:t>
        <w:br/>
        <w:t>буенча идарэсе</w:t>
      </w:r>
    </w:p>
    <w:p>
      <w:pPr>
        <w:pStyle w:val="Style4"/>
        <w:keepNext w:val="0"/>
        <w:keepLines w:val="0"/>
        <w:widowControl w:val="0"/>
        <w:shd w:val="clear" w:color="auto" w:fill="auto"/>
        <w:bidi w:val="0"/>
        <w:spacing w:before="0" w:after="0"/>
        <w:ind w:left="0" w:right="0" w:firstLine="0"/>
        <w:jc w:val="center"/>
        <w:sectPr>
          <w:headerReference w:type="default" r:id="rId7"/>
          <w:footerReference w:type="default" r:id="rId8"/>
          <w:headerReference w:type="even" r:id="rId9"/>
          <w:footerReference w:type="even" r:id="rId10"/>
          <w:footnotePr>
            <w:pos w:val="pageBottom"/>
            <w:numFmt w:val="decimal"/>
            <w:numRestart w:val="continuous"/>
          </w:footnotePr>
          <w:pgSz w:w="11900" w:h="16840"/>
          <w:pgMar w:top="892" w:right="1461" w:bottom="958" w:left="1468" w:header="0" w:footer="3" w:gutter="0"/>
          <w:pgNumType w:start="1"/>
          <w:cols w:num="2" w:space="2534"/>
          <w:noEndnote/>
          <w:rtlGutter w:val="0"/>
          <w:docGrid w:linePitch="360"/>
        </w:sectPr>
      </w:pPr>
      <w:r>
        <w:rPr>
          <w:spacing w:val="0"/>
          <w:w w:val="100"/>
          <w:position w:val="0"/>
          <w:shd w:val="clear" w:color="auto" w:fill="auto"/>
          <w:lang w:val="ru-RU" w:eastAsia="ru-RU" w:bidi="ru-RU"/>
        </w:rPr>
        <w:t>Мэскоу ур„ 55 Порт, Казан шэЬэре, 420021</w:t>
        <w:br/>
        <w:t>тел.: (843) 236-89-22, факс (843) 238-19-46</w:t>
        <w:br/>
        <w:t>е-таН: (о 16@1а8.§о\.ги</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892" w:right="0" w:bottom="958" w:left="0" w:header="0" w:footer="3" w:gutter="0"/>
          <w:cols w:space="720"/>
          <w:noEndnote/>
          <w:rtlGutter w:val="0"/>
          <w:docGrid w:linePitch="360"/>
        </w:sectPr>
      </w:pPr>
    </w:p>
    <w:p>
      <w:pPr>
        <w:widowControl w:val="0"/>
        <w:spacing w:after="384" w:line="1" w:lineRule="exact"/>
      </w:pPr>
      <w:r>
        <w:drawing>
          <wp:anchor distT="0" distB="0" distL="0" distR="0" simplePos="0" relativeHeight="62914694" behindDoc="1" locked="0" layoutInCell="1" allowOverlap="1">
            <wp:simplePos x="0" y="0"/>
            <wp:positionH relativeFrom="page">
              <wp:posOffset>2751455</wp:posOffset>
            </wp:positionH>
            <wp:positionV relativeFrom="paragraph">
              <wp:posOffset>12700</wp:posOffset>
            </wp:positionV>
            <wp:extent cx="713105" cy="2438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713105" cy="24384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892" w:right="633" w:bottom="958" w:left="892" w:header="0" w:footer="3" w:gutter="0"/>
          <w:cols w:space="720"/>
          <w:noEndnote/>
          <w:rtlGutter w:val="0"/>
          <w:docGrid w:linePitch="360"/>
        </w:sectPr>
      </w:pPr>
    </w:p>
    <w:p>
      <w:pPr>
        <w:widowControl w:val="0"/>
        <w:spacing w:line="56" w:lineRule="exact"/>
        <w:rPr>
          <w:sz w:val="5"/>
          <w:szCs w:val="5"/>
        </w:rPr>
      </w:pPr>
    </w:p>
    <w:p>
      <w:pPr>
        <w:widowControl w:val="0"/>
        <w:spacing w:line="1" w:lineRule="exact"/>
        <w:sectPr>
          <w:footnotePr>
            <w:pos w:val="pageBottom"/>
            <w:numFmt w:val="decimal"/>
            <w:numRestart w:val="continuous"/>
          </w:footnotePr>
          <w:type w:val="continuous"/>
          <w:pgSz w:w="11900" w:h="16840"/>
          <w:pgMar w:top="982" w:right="0" w:bottom="1068" w:left="0" w:header="0" w:footer="3" w:gutter="0"/>
          <w:cols w:space="720"/>
          <w:noEndnote/>
          <w:rtlGutter w:val="0"/>
          <w:docGrid w:linePitch="360"/>
        </w:sectPr>
      </w:pPr>
    </w:p>
    <w:p>
      <w:pPr>
        <w:pStyle w:val="Style2"/>
        <w:keepNext w:val="0"/>
        <w:keepLines w:val="0"/>
        <w:widowControl w:val="0"/>
        <w:shd w:val="clear" w:color="auto" w:fill="auto"/>
        <w:bidi w:val="0"/>
        <w:spacing w:before="0" w:after="420" w:line="240" w:lineRule="auto"/>
        <w:ind w:left="0" w:right="0" w:firstLine="0"/>
        <w:jc w:val="left"/>
      </w:pPr>
      <w:r>
        <w:rPr>
          <w:b w:val="0"/>
          <w:bCs w:val="0"/>
          <w:spacing w:val="0"/>
          <w:w w:val="100"/>
          <w:position w:val="0"/>
          <w:sz w:val="24"/>
          <w:szCs w:val="24"/>
          <w:shd w:val="clear" w:color="auto" w:fill="auto"/>
          <w:lang w:val="ru-RU" w:eastAsia="ru-RU" w:bidi="ru-RU"/>
        </w:rPr>
        <w:t>На №от</w:t>
      </w:r>
    </w:p>
    <w:p>
      <w:pPr>
        <w:pStyle w:val="Style9"/>
        <w:keepNext w:val="0"/>
        <w:keepLines w:val="0"/>
        <w:widowControl w:val="0"/>
        <w:shd w:val="clear" w:color="auto" w:fill="auto"/>
        <w:bidi w:val="0"/>
        <w:spacing w:before="0" w:after="0" w:line="240" w:lineRule="auto"/>
        <w:ind w:left="5660" w:right="0" w:firstLine="20"/>
        <w:jc w:val="left"/>
      </w:pPr>
      <w:r>
        <w:rPr>
          <w:color w:val="000000"/>
          <w:spacing w:val="0"/>
          <w:w w:val="100"/>
          <w:position w:val="0"/>
          <w:shd w:val="clear" w:color="auto" w:fill="auto"/>
          <w:lang w:val="ru-RU" w:eastAsia="ru-RU" w:bidi="ru-RU"/>
        </w:rPr>
        <w:t>Заказчику:</w:t>
      </w:r>
    </w:p>
    <w:p>
      <w:pPr>
        <w:pStyle w:val="Style9"/>
        <w:keepNext w:val="0"/>
        <w:keepLines w:val="0"/>
        <w:widowControl w:val="0"/>
        <w:shd w:val="clear" w:color="auto" w:fill="auto"/>
        <w:bidi w:val="0"/>
        <w:spacing w:before="0" w:after="0" w:line="240" w:lineRule="auto"/>
        <w:ind w:left="5660" w:right="0" w:firstLine="20"/>
        <w:jc w:val="left"/>
      </w:pPr>
      <w:r>
        <w:rPr>
          <w:color w:val="000000"/>
          <w:spacing w:val="0"/>
          <w:w w:val="100"/>
          <w:position w:val="0"/>
          <w:shd w:val="clear" w:color="auto" w:fill="auto"/>
          <w:lang w:val="ru-RU" w:eastAsia="ru-RU" w:bidi="ru-RU"/>
        </w:rPr>
        <w:t>ФКУ «Федеральное управление автомобильных дорог Волго-вятского региона Федерального дорожного агентства»</w:t>
      </w:r>
    </w:p>
    <w:p>
      <w:pPr>
        <w:pStyle w:val="Style9"/>
        <w:keepNext w:val="0"/>
        <w:keepLines w:val="0"/>
        <w:widowControl w:val="0"/>
        <w:shd w:val="clear" w:color="auto" w:fill="auto"/>
        <w:bidi w:val="0"/>
        <w:spacing w:before="0" w:after="300" w:line="240" w:lineRule="auto"/>
        <w:ind w:left="5660" w:right="0" w:firstLine="20"/>
        <w:jc w:val="left"/>
      </w:pPr>
      <w:r>
        <w:rPr>
          <w:color w:val="000000"/>
          <w:spacing w:val="0"/>
          <w:w w:val="100"/>
          <w:position w:val="0"/>
          <w:shd w:val="clear" w:color="auto" w:fill="auto"/>
          <w:lang w:val="ru-RU" w:eastAsia="ru-RU" w:bidi="ru-RU"/>
        </w:rPr>
        <w:t>ууГаб@тЬох.ги</w:t>
      </w:r>
    </w:p>
    <w:p>
      <w:pPr>
        <w:pStyle w:val="Style9"/>
        <w:keepNext w:val="0"/>
        <w:keepLines w:val="0"/>
        <w:widowControl w:val="0"/>
        <w:shd w:val="clear" w:color="auto" w:fill="auto"/>
        <w:bidi w:val="0"/>
        <w:spacing w:before="0" w:after="0" w:line="240" w:lineRule="auto"/>
        <w:ind w:left="5660" w:right="0" w:firstLine="20"/>
        <w:jc w:val="left"/>
      </w:pPr>
      <w:r>
        <w:rPr>
          <w:color w:val="000000"/>
          <w:spacing w:val="0"/>
          <w:w w:val="100"/>
          <w:position w:val="0"/>
          <w:shd w:val="clear" w:color="auto" w:fill="auto"/>
          <w:lang w:val="ru-RU" w:eastAsia="ru-RU" w:bidi="ru-RU"/>
        </w:rPr>
        <w:t>Заявителю:</w:t>
      </w:r>
    </w:p>
    <w:p>
      <w:pPr>
        <w:pStyle w:val="Style9"/>
        <w:keepNext w:val="0"/>
        <w:keepLines w:val="0"/>
        <w:widowControl w:val="0"/>
        <w:shd w:val="clear" w:color="auto" w:fill="auto"/>
        <w:bidi w:val="0"/>
        <w:spacing w:before="0" w:after="0" w:line="240" w:lineRule="auto"/>
        <w:ind w:left="5660" w:right="0" w:firstLine="20"/>
        <w:jc w:val="left"/>
      </w:pPr>
      <w:r>
        <w:rPr>
          <w:color w:val="000000"/>
          <w:spacing w:val="0"/>
          <w:w w:val="100"/>
          <w:position w:val="0"/>
          <w:shd w:val="clear" w:color="auto" w:fill="auto"/>
          <w:lang w:val="ru-RU" w:eastAsia="ru-RU" w:bidi="ru-RU"/>
        </w:rPr>
        <w:t>ИП Кукушкина А.С.</w:t>
      </w:r>
    </w:p>
    <w:p>
      <w:pPr>
        <w:pStyle w:val="Style9"/>
        <w:keepNext w:val="0"/>
        <w:keepLines w:val="0"/>
        <w:widowControl w:val="0"/>
        <w:shd w:val="clear" w:color="auto" w:fill="auto"/>
        <w:bidi w:val="0"/>
        <w:spacing w:before="0" w:after="300" w:line="240" w:lineRule="auto"/>
        <w:ind w:left="5660" w:right="0" w:firstLine="20"/>
        <w:jc w:val="left"/>
      </w:pPr>
      <w:r>
        <w:rPr>
          <w:color w:val="000000"/>
          <w:spacing w:val="0"/>
          <w:w w:val="100"/>
          <w:position w:val="0"/>
          <w:shd w:val="clear" w:color="auto" w:fill="auto"/>
          <w:lang w:val="ru-RU" w:eastAsia="ru-RU" w:bidi="ru-RU"/>
        </w:rPr>
        <w:t>кики8Икта_§е1уа97@таП.ги</w:t>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Решение по делу № 016/06/32-578/2023</w:t>
        <w:br/>
        <w:t>о нарушении законодательства в сфере закупок товаров, работ, услуг</w:t>
        <w:br/>
        <w:t>для обеспечения государственных и муниципальных нужд</w:t>
      </w:r>
    </w:p>
    <w:p>
      <w:pPr>
        <w:pStyle w:val="Style9"/>
        <w:keepNext w:val="0"/>
        <w:keepLines w:val="0"/>
        <w:widowControl w:val="0"/>
        <w:shd w:val="clear" w:color="auto" w:fill="auto"/>
        <w:tabs>
          <w:tab w:pos="9101" w:val="left"/>
        </w:tabs>
        <w:bidi w:val="0"/>
        <w:spacing w:before="0" w:after="300" w:line="240" w:lineRule="auto"/>
        <w:ind w:left="0" w:right="0" w:firstLine="0"/>
        <w:jc w:val="both"/>
      </w:pPr>
      <w:r>
        <w:rPr>
          <w:color w:val="000000"/>
          <w:spacing w:val="0"/>
          <w:w w:val="100"/>
          <w:position w:val="0"/>
          <w:shd w:val="clear" w:color="auto" w:fill="auto"/>
          <w:lang w:val="ru-RU" w:eastAsia="ru-RU" w:bidi="ru-RU"/>
        </w:rPr>
        <w:t>28 апреля 2023 года</w:t>
        <w:tab/>
        <w:t>г. Казань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9"/>
        <w:keepNext w:val="0"/>
        <w:keepLines w:val="0"/>
        <w:widowControl w:val="0"/>
        <w:shd w:val="clear" w:color="auto" w:fill="auto"/>
        <w:tabs>
          <w:tab w:pos="6060" w:val="left"/>
        </w:tabs>
        <w:bidi w:val="0"/>
        <w:spacing w:before="0" w:after="0" w:line="240" w:lineRule="auto"/>
        <w:ind w:left="0" w:right="0" w:firstLine="820"/>
        <w:jc w:val="both"/>
      </w:pPr>
      <w:r>
        <w:rPr>
          <w:color w:val="000000"/>
          <w:spacing w:val="0"/>
          <w:w w:val="100"/>
          <w:position w:val="0"/>
          <w:shd w:val="clear" w:color="auto" w:fill="auto"/>
          <w:lang w:val="ru-RU" w:eastAsia="ru-RU" w:bidi="ru-RU"/>
        </w:rPr>
        <w:t>Зам. Председателя Комиссии:</w:t>
        <w:tab/>
        <w:t>Казакова В.Г. — начальника</w:t>
      </w:r>
    </w:p>
    <w:p>
      <w:pPr>
        <w:pStyle w:val="Style9"/>
        <w:keepNext w:val="0"/>
        <w:keepLines w:val="0"/>
        <w:widowControl w:val="0"/>
        <w:shd w:val="clear" w:color="auto" w:fill="auto"/>
        <w:bidi w:val="0"/>
        <w:spacing w:before="0" w:after="0" w:line="240" w:lineRule="auto"/>
        <w:ind w:left="6060" w:right="0" w:firstLine="0"/>
        <w:jc w:val="left"/>
      </w:pPr>
      <w:r>
        <w:rPr>
          <w:color w:val="000000"/>
          <w:spacing w:val="0"/>
          <w:w w:val="100"/>
          <w:position w:val="0"/>
          <w:shd w:val="clear" w:color="auto" w:fill="auto"/>
          <w:lang w:val="ru-RU" w:eastAsia="ru-RU" w:bidi="ru-RU"/>
        </w:rPr>
        <w:t>отдела,</w:t>
      </w:r>
    </w:p>
    <w:p>
      <w:pPr>
        <w:pStyle w:val="Style9"/>
        <w:keepNext w:val="0"/>
        <w:keepLines w:val="0"/>
        <w:widowControl w:val="0"/>
        <w:shd w:val="clear" w:color="auto" w:fill="auto"/>
        <w:tabs>
          <w:tab w:pos="6060" w:val="left"/>
        </w:tabs>
        <w:bidi w:val="0"/>
        <w:spacing w:before="0" w:after="0" w:line="240" w:lineRule="auto"/>
        <w:ind w:left="0" w:right="0" w:firstLine="820"/>
        <w:jc w:val="left"/>
      </w:pPr>
      <w:r>
        <w:rPr>
          <w:color w:val="000000"/>
          <w:spacing w:val="0"/>
          <w:w w:val="100"/>
          <w:position w:val="0"/>
          <w:shd w:val="clear" w:color="auto" w:fill="auto"/>
          <w:lang w:val="ru-RU" w:eastAsia="ru-RU" w:bidi="ru-RU"/>
        </w:rPr>
        <w:t>Членов Комиссии:</w:t>
        <w:tab/>
        <w:t>Гиниятуллиной Л.Р. - главного</w:t>
      </w:r>
    </w:p>
    <w:p>
      <w:pPr>
        <w:pStyle w:val="Style9"/>
        <w:keepNext w:val="0"/>
        <w:keepLines w:val="0"/>
        <w:widowControl w:val="0"/>
        <w:shd w:val="clear" w:color="auto" w:fill="auto"/>
        <w:bidi w:val="0"/>
        <w:spacing w:before="0" w:after="0" w:line="240" w:lineRule="auto"/>
        <w:ind w:left="6060" w:right="0" w:firstLine="20"/>
        <w:jc w:val="left"/>
      </w:pPr>
      <w:r>
        <w:rPr>
          <w:color w:val="000000"/>
          <w:spacing w:val="0"/>
          <w:w w:val="100"/>
          <w:position w:val="0"/>
          <w:shd w:val="clear" w:color="auto" w:fill="auto"/>
          <w:lang w:val="ru-RU" w:eastAsia="ru-RU" w:bidi="ru-RU"/>
        </w:rPr>
        <w:t>специалиста-эксперта, Тимофеева М.А. - ведущего специалиста-эксперта,</w:t>
      </w:r>
    </w:p>
    <w:p>
      <w:pPr>
        <w:pStyle w:val="Style9"/>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 xml:space="preserve">в присутствии представителей заказчика ФКУ «Федеральное управление автомобильных дорог Волго-вятского региона Федерального дорожного агентства» - Панковой З.В. (доверенность №5 от 09.01.2023г.), Воробьевой О.Г. (доверенность №9 от 09.01.2023г.), в присутствии заявителя ИП Кукушкиной Ангелины Сергеевны лично, рассмотрев в режиме видеоконференцсвязи жалобу заявителя ИП Кукушкиной Ангелины Сергеевны (вх. №4145/ж от 21.04.2023г.) на действия </w:t>
      </w:r>
      <w:r>
        <w:rPr>
          <w:color w:val="000000"/>
          <w:spacing w:val="0"/>
          <w:w w:val="100"/>
          <w:position w:val="0"/>
          <w:shd w:val="clear" w:color="auto" w:fill="auto"/>
          <w:lang w:val="ru-RU" w:eastAsia="ru-RU" w:bidi="ru-RU"/>
        </w:rPr>
        <w:t>заказчика ФКУ «Федеральное управление автомобильных дорог Вол го-вятского региона Федерального дорожного агентства» при проведении закупки (открытый конкурс) №0311100007223000014 на предмет: «Расчистка полосы отвода федеральной автомобильной дороги Р-177 "Поветлужье" Нижний Новгород - Йошкар-Ола, Республика Марий Эл»,</w: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№0311100007223000014 размещено на официальном сайте Российской Федерации \УАУ\у.2акирк1.§оу,ги 07.04.2023г.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- 183 000 000,00 руб.</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закупка проведена с нарушениями норм действующего законодательства.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Комиссии Татарстанского УФАС России, назначенной уведомлением исх. №ВЧ-04/4104 от 24.04.2023г. на 27.04.2023г. в 11 час. 00 мин., был объявлен перерыв на 28.04.2023г. в 15 час. 00 мин.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28.04.2023г. после перерыва заявитель поддержал жалобу в полном объеме. Заказчик не согласился с жалобой.</w:t>
      </w:r>
    </w:p>
    <w:p>
      <w:pPr>
        <w:pStyle w:val="Style9"/>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ио результатам рассмотрения довода заявителя на действия заказчика, позиции заказчика, изучения извещения конкурса приходит к следующим выводам.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11 части 1 статьи 42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32 Закона о контрактной системе установлено, что для оценки заявок участников закупки заказчик использует следующие критерии:</w:t>
      </w:r>
    </w:p>
    <w:p>
      <w:pPr>
        <w:pStyle w:val="Style9"/>
        <w:keepNext w:val="0"/>
        <w:keepLines w:val="0"/>
        <w:widowControl w:val="0"/>
        <w:numPr>
          <w:ilvl w:val="0"/>
          <w:numId w:val="1"/>
        </w:numPr>
        <w:shd w:val="clear" w:color="auto" w:fill="auto"/>
        <w:tabs>
          <w:tab w:pos="104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9"/>
        <w:keepNext w:val="0"/>
        <w:keepLines w:val="0"/>
        <w:widowControl w:val="0"/>
        <w:numPr>
          <w:ilvl w:val="0"/>
          <w:numId w:val="1"/>
        </w:numPr>
        <w:shd w:val="clear" w:color="auto" w:fill="auto"/>
        <w:tabs>
          <w:tab w:pos="1062" w:val="left"/>
        </w:tabs>
        <w:bidi w:val="0"/>
        <w:spacing w:before="0" w:after="160" w:line="240" w:lineRule="auto"/>
        <w:ind w:left="0" w:right="0" w:firstLine="72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9"/>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9"/>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4 статьи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31.12.2021г.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И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 ев закупке товаров, работ, услуг для обеспечения государственных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8 Положения в случае применения показателей оценки по критериям оценки, предусмотренным подпунктами "в" и "г" пункта 3 настоящего Положения:</w:t>
      </w:r>
    </w:p>
    <w:p>
      <w:pPr>
        <w:pStyle w:val="Style9"/>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детализирующие показатели;</w:t>
      </w:r>
    </w:p>
    <w:p>
      <w:pPr>
        <w:pStyle w:val="Style9"/>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9"/>
        <w:keepNext w:val="0"/>
        <w:keepLines w:val="0"/>
        <w:widowControl w:val="0"/>
        <w:numPr>
          <w:ilvl w:val="0"/>
          <w:numId w:val="3"/>
        </w:numPr>
        <w:shd w:val="clear" w:color="auto" w:fill="auto"/>
        <w:tabs>
          <w:tab w:pos="1071" w:val="left"/>
        </w:tabs>
        <w:bidi w:val="0"/>
        <w:spacing w:before="0" w:after="0" w:line="240" w:lineRule="auto"/>
        <w:ind w:left="0" w:right="0" w:firstLine="720"/>
        <w:jc w:val="both"/>
        <w:sectPr>
          <w:footnotePr>
            <w:pos w:val="pageBottom"/>
            <w:numFmt w:val="decimal"/>
            <w:numRestart w:val="continuous"/>
          </w:footnotePr>
          <w:type w:val="continuous"/>
          <w:pgSz w:w="11900" w:h="16840"/>
          <w:pgMar w:top="982" w:right="499" w:bottom="1068" w:left="1087" w:header="0" w:footer="3" w:gutter="0"/>
          <w:cols w:space="720"/>
          <w:noEndnote/>
          <w:rtlGutter w:val="0"/>
          <w:docGrid w:linePitch="360"/>
        </w:sectPr>
      </w:pPr>
      <w:r>
        <w:rPr>
          <w:color w:val="000000"/>
          <w:spacing w:val="0"/>
          <w:w w:val="100"/>
          <w:position w:val="0"/>
          <w:shd w:val="clear" w:color="auto" w:fill="auto"/>
          <w:lang w:val="ru-RU" w:eastAsia="ru-RU" w:bidi="ru-RU"/>
        </w:rPr>
        <w:t xml:space="preserve">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w:t>
      </w:r>
    </w:p>
    <w:p>
      <w:pPr>
        <w:pStyle w:val="Style9"/>
        <w:keepNext w:val="0"/>
        <w:keepLines w:val="0"/>
        <w:widowControl w:val="0"/>
        <w:shd w:val="clear" w:color="auto" w:fill="auto"/>
        <w:tabs>
          <w:tab w:pos="1071"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24 Положения для опенки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9"/>
        <w:keepNext w:val="0"/>
        <w:keepLines w:val="0"/>
        <w:widowControl w:val="0"/>
        <w:numPr>
          <w:ilvl w:val="0"/>
          <w:numId w:val="5"/>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9"/>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па праве собственности или ином законном основании оборудования и других материальных ресурсов;</w:t>
      </w:r>
    </w:p>
    <w:p>
      <w:pPr>
        <w:pStyle w:val="Style9"/>
        <w:keepNext w:val="0"/>
        <w:keepLines w:val="0"/>
        <w:widowControl w:val="0"/>
        <w:numPr>
          <w:ilvl w:val="0"/>
          <w:numId w:val="5"/>
        </w:numPr>
        <w:shd w:val="clear" w:color="auto" w:fill="auto"/>
        <w:tabs>
          <w:tab w:pos="10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9"/>
        <w:keepNext w:val="0"/>
        <w:keepLines w:val="0"/>
        <w:widowControl w:val="0"/>
        <w:numPr>
          <w:ilvl w:val="0"/>
          <w:numId w:val="5"/>
        </w:numPr>
        <w:shd w:val="clear" w:color="auto" w:fill="auto"/>
        <w:tabs>
          <w:tab w:pos="11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28 Положения в случае применения показателя оценки, предусмотренного подпунктом "в" пункта 24 настоящего Положения: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применяются один или несколько из следующих детализирующих показателей оценки: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26 Положения установлено, что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Согласно пункту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законом оценке по критерию оценки "характеристики объекта закупки" (БХ1), рассчитывается но одной из следующих формул:</w:t>
      </w:r>
    </w:p>
    <w:p>
      <w:pPr>
        <w:pStyle w:val="Style9"/>
        <w:keepNext w:val="0"/>
        <w:keepLines w:val="0"/>
        <w:widowControl w:val="0"/>
        <w:pBdr>
          <w:bottom w:val="single" w:sz="4" w:space="0" w:color="auto"/>
        </w:pBdr>
        <w:shd w:val="clear" w:color="auto" w:fill="auto"/>
        <w:bidi w:val="0"/>
        <w:spacing w:before="0" w:after="40" w:line="254" w:lineRule="auto"/>
        <w:ind w:left="0" w:right="0" w:firstLine="720"/>
        <w:jc w:val="both"/>
      </w:pPr>
      <w:r>
        <w:rPr>
          <w:color w:val="000000"/>
          <w:spacing w:val="0"/>
          <w:w w:val="100"/>
          <w:position w:val="0"/>
          <w:u w:val="single"/>
          <w:shd w:val="clear" w:color="auto" w:fill="auto"/>
          <w:lang w:val="ru-RU" w:eastAsia="ru-RU" w:bidi="ru-RU"/>
        </w:rPr>
        <w:t xml:space="preserve">з) в случае, если лучшим является наибольшее значение характеристики </w:t>
      </w:r>
      <w:r>
        <w:rPr>
          <w:rFonts w:ascii="Verdana" w:eastAsia="Verdana" w:hAnsi="Verdana" w:cs="Verdana"/>
          <w:color w:val="000000"/>
          <w:spacing w:val="0"/>
          <w:w w:val="100"/>
          <w:position w:val="0"/>
          <w:sz w:val="15"/>
          <w:szCs w:val="15"/>
          <w:shd w:val="clear" w:color="auto" w:fill="auto"/>
          <w:lang w:val="ru-RU" w:eastAsia="ru-RU" w:bidi="ru-RU"/>
        </w:rPr>
        <w:t xml:space="preserve">пред </w:t>
      </w:r>
      <w:r>
        <w:rPr>
          <w:color w:val="000000"/>
          <w:spacing w:val="0"/>
          <w:w w:val="100"/>
          <w:position w:val="0"/>
          <w:u w:val="single"/>
          <w:shd w:val="clear" w:color="auto" w:fill="auto"/>
          <w:lang w:val="ru-RU" w:eastAsia="ru-RU" w:bidi="ru-RU"/>
        </w:rPr>
        <w:t xml:space="preserve">объекта закупки и установлены предельное минимальное значение ( </w:t>
      </w:r>
      <w:r>
        <w:rPr>
          <w:color w:val="000000"/>
          <w:spacing w:val="0"/>
          <w:w w:val="100"/>
          <w:position w:val="0"/>
          <w:u w:val="single"/>
          <w:shd w:val="clear" w:color="auto" w:fill="auto"/>
          <w:vertAlign w:val="superscript"/>
          <w:lang w:val="ru-RU" w:eastAsia="ru-RU" w:bidi="ru-RU"/>
        </w:rPr>
        <w:t>т</w:t>
      </w:r>
      <w:r>
        <w:rPr>
          <w:color w:val="000000"/>
          <w:spacing w:val="0"/>
          <w:w w:val="100"/>
          <w:position w:val="0"/>
          <w:u w:val="single"/>
          <w:shd w:val="clear" w:color="auto" w:fill="auto"/>
          <w:lang w:val="ru-RU" w:eastAsia="ru-RU" w:bidi="ru-RU"/>
        </w:rPr>
        <w:t>'</w:t>
      </w:r>
      <w:r>
        <w:rPr>
          <w:color w:val="000000"/>
          <w:spacing w:val="0"/>
          <w:w w:val="100"/>
          <w:position w:val="0"/>
          <w:u w:val="single"/>
          <w:shd w:val="clear" w:color="auto" w:fill="auto"/>
          <w:vertAlign w:val="superscript"/>
          <w:lang w:val="ru-RU" w:eastAsia="ru-RU" w:bidi="ru-RU"/>
        </w:rPr>
        <w:t>п</w:t>
      </w:r>
      <w:r>
        <w:rPr>
          <w:color w:val="000000"/>
          <w:spacing w:val="0"/>
          <w:w w:val="100"/>
          <w:position w:val="0"/>
          <w:u w:val="single"/>
          <w:shd w:val="clear" w:color="auto" w:fill="auto"/>
          <w:lang w:val="ru-RU" w:eastAsia="ru-RU" w:bidi="ru-RU"/>
        </w:rPr>
        <w:t xml:space="preserve"> )</w:t>
      </w:r>
    </w:p>
    <w:p>
      <w:pPr>
        <w:pStyle w:val="Style9"/>
        <w:keepNext w:val="0"/>
        <w:keepLines w:val="0"/>
        <w:widowControl w:val="0"/>
        <w:shd w:val="clear" w:color="auto" w:fill="auto"/>
        <w:bidi w:val="0"/>
        <w:spacing w:before="0" w:after="500" w:line="271" w:lineRule="auto"/>
        <w:ind w:left="0" w:right="0" w:firstLine="9680"/>
        <w:jc w:val="both"/>
      </w:pPr>
      <w:r>
        <w:rPr>
          <w:rFonts w:ascii="Verdana" w:eastAsia="Verdana" w:hAnsi="Verdana" w:cs="Verdana"/>
          <w:color w:val="000000"/>
          <w:spacing w:val="0"/>
          <w:w w:val="100"/>
          <w:position w:val="0"/>
          <w:sz w:val="15"/>
          <w:szCs w:val="15"/>
          <w:shd w:val="clear" w:color="auto" w:fill="auto"/>
          <w:lang w:val="ru-RU" w:eastAsia="ru-RU" w:bidi="ru-RU"/>
        </w:rPr>
        <w:t xml:space="preserve">пред </w:t>
      </w:r>
      <w:r>
        <w:rPr>
          <w:color w:val="000000"/>
          <w:spacing w:val="0"/>
          <w:w w:val="100"/>
          <w:position w:val="0"/>
          <w:u w:val="single"/>
          <w:shd w:val="clear" w:color="auto" w:fill="auto"/>
          <w:lang w:val="ru-RU" w:eastAsia="ru-RU" w:bidi="ru-RU"/>
        </w:rPr>
        <w:t xml:space="preserve">характеристики объекта закупки и предельное максимальное значение ( </w:t>
      </w:r>
      <w:r>
        <w:rPr>
          <w:color w:val="000000"/>
          <w:spacing w:val="0"/>
          <w:w w:val="100"/>
          <w:position w:val="0"/>
          <w:u w:val="single"/>
          <w:shd w:val="clear" w:color="auto" w:fill="auto"/>
          <w:vertAlign w:val="superscript"/>
          <w:lang w:val="ru-RU" w:eastAsia="ru-RU" w:bidi="ru-RU"/>
        </w:rPr>
        <w:t>тах</w:t>
      </w:r>
      <w:r>
        <w:rPr>
          <w:color w:val="000000"/>
          <w:spacing w:val="0"/>
          <w:w w:val="100"/>
          <w:position w:val="0"/>
          <w:u w:val="single"/>
          <w:shd w:val="clear" w:color="auto" w:fill="auto"/>
          <w:lang w:val="ru-RU" w:eastAsia="ru-RU" w:bidi="ru-RU"/>
        </w:rPr>
        <w:t xml:space="preserve"> ) характеристики объекта закупки, - по формуле:</w:t>
      </w:r>
    </w:p>
    <w:p>
      <w:pPr>
        <w:pStyle w:val="Style18"/>
        <w:keepNext/>
        <w:keepLines/>
        <w:widowControl w:val="0"/>
        <w:shd w:val="clear" w:color="auto" w:fill="auto"/>
        <w:tabs>
          <w:tab w:leader="hyphen" w:pos="3118" w:val="left"/>
          <w:tab w:leader="hyphen" w:pos="4133" w:val="left"/>
        </w:tabs>
        <w:bidi w:val="0"/>
        <w:spacing w:before="0" w:after="0" w:line="240" w:lineRule="auto"/>
        <w:ind w:left="0" w:right="0" w:firstLine="0"/>
        <w:jc w:val="center"/>
      </w:pPr>
      <w:r>
        <mc:AlternateContent>
          <mc:Choice Requires="wps">
            <w:drawing>
              <wp:anchor distT="0" distB="0" distL="0" distR="0" simplePos="0" relativeHeight="125829381" behindDoc="0" locked="0" layoutInCell="1" allowOverlap="1">
                <wp:simplePos x="0" y="0"/>
                <wp:positionH relativeFrom="page">
                  <wp:posOffset>4613910</wp:posOffset>
                </wp:positionH>
                <wp:positionV relativeFrom="paragraph">
                  <wp:posOffset>190500</wp:posOffset>
                </wp:positionV>
                <wp:extent cx="271780" cy="306070"/>
                <wp:wrapSquare wrapText="bothSides"/>
                <wp:docPr id="11" name="Shape 11"/>
                <a:graphic xmlns:a="http://schemas.openxmlformats.org/drawingml/2006/main">
                  <a:graphicData uri="http://schemas.microsoft.com/office/word/2010/wordprocessingShape">
                    <wps:wsp>
                      <wps:cNvSpPr txBox="1"/>
                      <wps:spPr>
                        <a:xfrm>
                          <a:ext cx="271780" cy="306070"/>
                        </a:xfrm>
                        <a:prstGeom prst="rect"/>
                        <a:noFill/>
                      </wps:spPr>
                      <wps:txbx>
                        <w:txbxContent>
                          <w:p>
                            <w:pPr>
                              <w:pStyle w:val="Style6"/>
                              <w:keepNext w:val="0"/>
                              <w:keepLines w:val="0"/>
                              <w:widowControl w:val="0"/>
                              <w:shd w:val="clear" w:color="auto" w:fill="auto"/>
                              <w:bidi w:val="0"/>
                              <w:spacing w:before="0" w:after="0" w:line="302" w:lineRule="auto"/>
                              <w:ind w:left="0" w:right="0" w:firstLine="0"/>
                              <w:jc w:val="left"/>
                            </w:pPr>
                            <w:r>
                              <w:rPr>
                                <w:color w:val="000000"/>
                                <w:spacing w:val="0"/>
                                <w:w w:val="100"/>
                                <w:position w:val="0"/>
                                <w:shd w:val="clear" w:color="auto" w:fill="auto"/>
                                <w:lang w:val="ru-RU" w:eastAsia="ru-RU" w:bidi="ru-RU"/>
                              </w:rPr>
                              <w:t>пред тах</w:t>
                            </w:r>
                          </w:p>
                        </w:txbxContent>
                      </wps:txbx>
                      <wps:bodyPr lIns="0" tIns="0" rIns="0" bIns="0">
                        <a:noAutoFit/>
                      </wps:bodyPr>
                    </wps:wsp>
                  </a:graphicData>
                </a:graphic>
              </wp:anchor>
            </w:drawing>
          </mc:Choice>
          <mc:Fallback>
            <w:pict>
              <v:shape id="_x0000_s1037" type="#_x0000_t202" style="position:absolute;margin-left:363.30000000000001pt;margin-top:15.pt;width:21.400000000000002pt;height:24.100000000000001pt;z-index:-125829372;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302" w:lineRule="auto"/>
                        <w:ind w:left="0" w:right="0" w:firstLine="0"/>
                        <w:jc w:val="left"/>
                      </w:pPr>
                      <w:r>
                        <w:rPr>
                          <w:color w:val="000000"/>
                          <w:spacing w:val="0"/>
                          <w:w w:val="100"/>
                          <w:position w:val="0"/>
                          <w:shd w:val="clear" w:color="auto" w:fill="auto"/>
                          <w:lang w:val="ru-RU" w:eastAsia="ru-RU" w:bidi="ru-RU"/>
                        </w:rPr>
                        <w:t>пред тах</w:t>
                      </w:r>
                    </w:p>
                  </w:txbxContent>
                </v:textbox>
                <w10:wrap type="square" anchorx="page"/>
              </v:shape>
            </w:pict>
          </mc:Fallback>
        </mc:AlternateContent>
      </w:r>
      <w:r>
        <mc:AlternateContent>
          <mc:Choice Requires="wps">
            <w:drawing>
              <wp:anchor distT="0" distB="0" distL="0" distR="0" simplePos="0" relativeHeight="125829383" behindDoc="0" locked="0" layoutInCell="1" allowOverlap="1">
                <wp:simplePos x="0" y="0"/>
                <wp:positionH relativeFrom="page">
                  <wp:posOffset>5172075</wp:posOffset>
                </wp:positionH>
                <wp:positionV relativeFrom="paragraph">
                  <wp:posOffset>190500</wp:posOffset>
                </wp:positionV>
                <wp:extent cx="271780" cy="311150"/>
                <wp:wrapSquare wrapText="bothSides"/>
                <wp:docPr id="13" name="Shape 13"/>
                <a:graphic xmlns:a="http://schemas.openxmlformats.org/drawingml/2006/main">
                  <a:graphicData uri="http://schemas.microsoft.com/office/word/2010/wordprocessingShape">
                    <wps:wsp>
                      <wps:cNvSpPr txBox="1"/>
                      <wps:spPr>
                        <a:xfrm>
                          <a:ext cx="271780" cy="311150"/>
                        </a:xfrm>
                        <a:prstGeom prst="rect"/>
                        <a:noFill/>
                      </wps:spPr>
                      <wps:txbx>
                        <w:txbxContent>
                          <w:p>
                            <w:pPr>
                              <w:pStyle w:val="Style6"/>
                              <w:keepNext w:val="0"/>
                              <w:keepLines w:val="0"/>
                              <w:widowControl w:val="0"/>
                              <w:shd w:val="clear" w:color="auto" w:fill="auto"/>
                              <w:bidi w:val="0"/>
                              <w:spacing w:before="0" w:after="0" w:line="307" w:lineRule="auto"/>
                              <w:ind w:left="0" w:right="0" w:firstLine="0"/>
                              <w:jc w:val="left"/>
                            </w:pPr>
                            <w:r>
                              <w:rPr>
                                <w:color w:val="000000"/>
                                <w:spacing w:val="0"/>
                                <w:w w:val="100"/>
                                <w:position w:val="0"/>
                                <w:shd w:val="clear" w:color="auto" w:fill="auto"/>
                                <w:lang w:val="ru-RU" w:eastAsia="ru-RU" w:bidi="ru-RU"/>
                              </w:rPr>
                              <w:t>пред гтнп</w:t>
                            </w:r>
                          </w:p>
                        </w:txbxContent>
                      </wps:txbx>
                      <wps:bodyPr lIns="0" tIns="0" rIns="0" bIns="0">
                        <a:noAutoFit/>
                      </wps:bodyPr>
                    </wps:wsp>
                  </a:graphicData>
                </a:graphic>
              </wp:anchor>
            </w:drawing>
          </mc:Choice>
          <mc:Fallback>
            <w:pict>
              <v:shape id="_x0000_s1039" type="#_x0000_t202" style="position:absolute;margin-left:407.25pt;margin-top:15.pt;width:21.400000000000002pt;height:24.5pt;z-index:-125829370;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307" w:lineRule="auto"/>
                        <w:ind w:left="0" w:right="0" w:firstLine="0"/>
                        <w:jc w:val="left"/>
                      </w:pPr>
                      <w:r>
                        <w:rPr>
                          <w:color w:val="000000"/>
                          <w:spacing w:val="0"/>
                          <w:w w:val="100"/>
                          <w:position w:val="0"/>
                          <w:shd w:val="clear" w:color="auto" w:fill="auto"/>
                          <w:lang w:val="ru-RU" w:eastAsia="ru-RU" w:bidi="ru-RU"/>
                        </w:rPr>
                        <w:t>пред гтнп</w:t>
                      </w:r>
                    </w:p>
                  </w:txbxContent>
                </v:textbox>
                <w10:wrap type="square" anchorx="page"/>
              </v:shape>
            </w:pict>
          </mc:Fallback>
        </mc:AlternateContent>
      </w:r>
      <w:bookmarkStart w:id="0" w:name="bookmark0"/>
      <w:r>
        <w:rPr>
          <w:color w:val="000000"/>
          <w:spacing w:val="0"/>
          <w:w w:val="100"/>
          <w:position w:val="0"/>
          <w:shd w:val="clear" w:color="auto" w:fill="auto"/>
          <w:lang w:val="ru-RU" w:eastAsia="ru-RU" w:bidi="ru-RU"/>
        </w:rPr>
        <w:t>БХ. = 1х. - Х</w:t>
      </w:r>
      <w:r>
        <w:rPr>
          <w:color w:val="000000"/>
          <w:spacing w:val="0"/>
          <w:w w:val="100"/>
          <w:position w:val="0"/>
          <w:shd w:val="clear" w:color="auto" w:fill="auto"/>
          <w:vertAlign w:val="superscript"/>
          <w:lang w:val="ru-RU" w:eastAsia="ru-RU" w:bidi="ru-RU"/>
        </w:rPr>
        <w:t>пред</w:t>
      </w:r>
      <w:r>
        <w:rPr>
          <w:color w:val="000000"/>
          <w:spacing w:val="0"/>
          <w:w w:val="100"/>
          <w:position w:val="0"/>
          <w:shd w:val="clear" w:color="auto" w:fill="auto"/>
          <w:lang w:val="ru-RU" w:eastAsia="ru-RU" w:bidi="ru-RU"/>
        </w:rPr>
        <w:t xml:space="preserve"> 1 х</w:t>
        <w:tab/>
        <w:t>—</w:t>
        <w:tab/>
        <w:t>.</w:t>
      </w:r>
      <w:bookmarkEnd w:id="0"/>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u w:val="single"/>
          <w:shd w:val="clear" w:color="auto" w:fill="auto"/>
          <w:lang w:val="ru-RU" w:eastAsia="ru-RU" w:bidi="ru-RU"/>
        </w:rPr>
        <w:t>Приложением №5 к извещению об осуществлении закупки заказчиком установлен порядок рассмотрения и оценки заявок на участие в конкурсе.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u w:val="single"/>
          <w:shd w:val="clear" w:color="auto" w:fill="auto"/>
          <w:lang w:val="ru-RU" w:eastAsia="ru-RU" w:bidi="ru-RU"/>
        </w:rPr>
        <w:t>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 показатель оценки - наличие у участников закупки опыта работы, связанного с предметом контракта, детализирующий показатель оценки - общая цена исполненных участником закупки договоров.</w:t>
      </w:r>
    </w:p>
    <w:p>
      <w:pPr>
        <w:pStyle w:val="Style9"/>
        <w:keepNext w:val="0"/>
        <w:keepLines w:val="0"/>
        <w:widowControl w:val="0"/>
        <w:shd w:val="clear" w:color="auto" w:fill="auto"/>
        <w:bidi w:val="0"/>
        <w:spacing w:before="0" w:after="540" w:line="240" w:lineRule="auto"/>
        <w:ind w:left="0" w:right="0" w:firstLine="700"/>
        <w:jc w:val="both"/>
      </w:pPr>
      <w:r>
        <w:rPr>
          <w:color w:val="000000"/>
          <w:spacing w:val="0"/>
          <w:w w:val="100"/>
          <w:position w:val="0"/>
          <w:u w:val="single"/>
          <w:shd w:val="clear" w:color="auto" w:fill="auto"/>
          <w:lang w:val="ru-RU" w:eastAsia="ru-RU" w:bidi="ru-RU"/>
        </w:rPr>
        <w:t>Значение количества баллов по детализирующему показателю, присваиваемых заявке, подлежащей в соответствии с Федеральным законом №44-ФЗ оценке по критерию оценки "квалификация участников закупки" (БХ</w:t>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рассчитывается по </w:t>
      </w:r>
      <w:r>
        <w:rPr>
          <w:color w:val="000000"/>
          <w:spacing w:val="0"/>
          <w:w w:val="100"/>
          <w:position w:val="0"/>
          <w:shd w:val="clear" w:color="auto" w:fill="auto"/>
          <w:lang w:val="ru-RU" w:eastAsia="ru-RU" w:bidi="ru-RU"/>
        </w:rPr>
        <w:t>формуле:</w:t>
      </w:r>
    </w:p>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|^=х-С</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 xml:space="preserve"> &gt;&lt;—</w:t>
      </w:r>
    </w:p>
    <w:p>
      <w:pPr>
        <w:pStyle w:val="Style4"/>
        <w:keepNext w:val="0"/>
        <w:keepLines w:val="0"/>
        <w:widowControl w:val="0"/>
        <w:shd w:val="clear" w:color="auto" w:fill="auto"/>
        <w:tabs>
          <w:tab w:pos="2056" w:val="left"/>
        </w:tabs>
        <w:bidi w:val="0"/>
        <w:spacing w:before="0" w:after="0" w:line="180" w:lineRule="auto"/>
        <w:ind w:left="1160" w:right="0" w:firstLine="0"/>
        <w:jc w:val="both"/>
      </w:pPr>
      <w:r>
        <w:rPr>
          <w:color w:val="000000"/>
          <w:spacing w:val="0"/>
          <w:w w:val="100"/>
          <w:position w:val="0"/>
          <w:shd w:val="clear" w:color="auto" w:fill="auto"/>
          <w:lang w:val="ru-RU" w:eastAsia="ru-RU" w:bidi="ru-RU"/>
        </w:rPr>
        <w:t>'</w:t>
        <w:tab/>
      </w:r>
      <w:r>
        <w:rPr>
          <w:color w:val="000000"/>
          <w:spacing w:val="0"/>
          <w:w w:val="100"/>
          <w:position w:val="0"/>
          <w:shd w:val="clear" w:color="auto" w:fill="auto"/>
          <w:vertAlign w:val="superscript"/>
          <w:lang w:val="ru-RU" w:eastAsia="ru-RU" w:bidi="ru-RU"/>
        </w:rPr>
        <w:t>7</w:t>
      </w:r>
      <w:r>
        <w:rPr>
          <w:color w:val="000000"/>
          <w:spacing w:val="0"/>
          <w:w w:val="100"/>
          <w:position w:val="0"/>
          <w:shd w:val="clear" w:color="auto" w:fill="auto"/>
          <w:lang w:val="ru-RU" w:eastAsia="ru-RU" w:bidi="ru-RU"/>
        </w:rPr>
        <w:t xml:space="preserve"> у^д_улгед</w:t>
      </w:r>
    </w:p>
    <w:p>
      <w:pPr>
        <w:pStyle w:val="Style2"/>
        <w:keepNext w:val="0"/>
        <w:keepLines w:val="0"/>
        <w:widowControl w:val="0"/>
        <w:shd w:val="clear" w:color="auto" w:fill="auto"/>
        <w:bidi w:val="0"/>
        <w:spacing w:before="0" w:after="60" w:line="180" w:lineRule="auto"/>
        <w:ind w:left="2380" w:right="0" w:firstLine="0"/>
        <w:jc w:val="both"/>
      </w:pPr>
      <w:r>
        <w:rPr>
          <w:b w:val="0"/>
          <w:bCs w:val="0"/>
          <w:color w:val="000000"/>
          <w:spacing w:val="0"/>
          <w:w w:val="100"/>
          <w:position w:val="0"/>
          <w:sz w:val="24"/>
          <w:szCs w:val="24"/>
          <w:shd w:val="clear" w:color="auto" w:fill="auto"/>
          <w:lang w:val="ru-RU" w:eastAsia="ru-RU" w:bidi="ru-RU"/>
        </w:rPr>
        <w:t>А&gt;ш Аш?</w:t>
      </w:r>
    </w:p>
    <w:p>
      <w:pPr>
        <w:pStyle w:val="Style9"/>
        <w:keepNext w:val="0"/>
        <w:keepLines w:val="0"/>
        <w:widowControl w:val="0"/>
        <w:shd w:val="clear" w:color="auto" w:fill="auto"/>
        <w:bidi w:val="0"/>
        <w:spacing w:before="0" w:after="60" w:line="240" w:lineRule="auto"/>
        <w:ind w:left="0" w:right="0" w:firstLine="680"/>
        <w:jc w:val="left"/>
      </w:pPr>
      <w:r>
        <w:rPr>
          <w:color w:val="000000"/>
          <w:spacing w:val="0"/>
          <w:w w:val="100"/>
          <w:position w:val="0"/>
          <w:shd w:val="clear" w:color="auto" w:fill="auto"/>
          <w:lang w:val="ru-RU" w:eastAsia="ru-RU" w:bidi="ru-RU"/>
        </w:rPr>
        <w:t>где:</w:t>
      </w:r>
    </w:p>
    <w:p>
      <w:pPr>
        <w:pStyle w:val="Style9"/>
        <w:keepNext w:val="0"/>
        <w:keepLines w:val="0"/>
        <w:widowControl w:val="0"/>
        <w:shd w:val="clear" w:color="auto" w:fill="auto"/>
        <w:bidi w:val="0"/>
        <w:spacing w:before="0" w:after="0" w:line="240" w:lineRule="auto"/>
        <w:ind w:left="0" w:right="0" w:firstLine="680"/>
        <w:jc w:val="left"/>
      </w:pPr>
      <w:r>
        <w:rPr>
          <w:color w:val="000000"/>
          <w:spacing w:val="0"/>
          <w:w w:val="100"/>
          <w:position w:val="0"/>
          <w:shd w:val="clear" w:color="auto" w:fill="auto"/>
          <w:lang w:val="ru-RU" w:eastAsia="ru-RU" w:bidi="ru-RU"/>
        </w:rPr>
        <w:t>I</w:t>
      </w:r>
    </w:p>
    <w:p>
      <w:pPr>
        <w:pStyle w:val="Style9"/>
        <w:keepNext w:val="0"/>
        <w:keepLines w:val="0"/>
        <w:widowControl w:val="0"/>
        <w:shd w:val="clear" w:color="auto" w:fill="auto"/>
        <w:bidi w:val="0"/>
        <w:spacing w:before="0" w:after="240" w:line="240" w:lineRule="auto"/>
        <w:ind w:left="0" w:right="0" w:firstLine="700"/>
        <w:jc w:val="both"/>
      </w:pPr>
      <w:r>
        <w:rPr>
          <w:color w:val="000000"/>
          <w:spacing w:val="0"/>
          <w:w w:val="100"/>
          <w:position w:val="0"/>
          <w:shd w:val="clear" w:color="auto" w:fill="auto"/>
          <w:lang w:val="ru-RU" w:eastAsia="ru-RU" w:bidi="ru-RU"/>
        </w:rPr>
        <w:t>I</w:t>
      </w:r>
      <w:r>
        <w:rPr>
          <w:color w:val="000000"/>
          <w:spacing w:val="0"/>
          <w:w w:val="100"/>
          <w:position w:val="0"/>
          <w:shd w:val="clear" w:color="auto" w:fill="auto"/>
          <w:vertAlign w:val="superscript"/>
          <w:lang w:val="ru-RU" w:eastAsia="ru-RU" w:bidi="ru-RU"/>
        </w:rPr>
        <w:t>2</w:t>
      </w:r>
      <w:r>
        <w:rPr>
          <w:color w:val="000000"/>
          <w:spacing w:val="0"/>
          <w:w w:val="100"/>
          <w:position w:val="0"/>
          <w:shd w:val="clear" w:color="auto" w:fill="auto"/>
          <w:lang w:val="ru-RU" w:eastAsia="ru-RU" w:bidi="ru-RU"/>
        </w:rPr>
        <w:t>™</w:t>
      </w:r>
      <w:r>
        <w:rPr>
          <w:color w:val="000000"/>
          <w:spacing w:val="0"/>
          <w:w w:val="100"/>
          <w:position w:val="0"/>
          <w:shd w:val="clear" w:color="auto" w:fill="auto"/>
          <w:vertAlign w:val="superscript"/>
          <w:lang w:val="ru-RU" w:eastAsia="ru-RU" w:bidi="ru-RU"/>
        </w:rPr>
        <w:t>77</w:t>
      </w:r>
      <w:r>
        <w:rPr>
          <w:color w:val="000000"/>
          <w:spacing w:val="0"/>
          <w:w w:val="100"/>
          <w:position w:val="0"/>
          <w:shd w:val="clear" w:color="auto" w:fill="auto"/>
          <w:lang w:val="ru-RU" w:eastAsia="ru-RU" w:bidi="ru-RU"/>
        </w:rPr>
        <w:t>'- предельное минимальное значение, установленное заказчиком - 36 600 000 руб.;</w:t>
      </w:r>
    </w:p>
    <w:p>
      <w:pPr>
        <w:pStyle w:val="Style9"/>
        <w:keepNext w:val="0"/>
        <w:keepLines w:val="0"/>
        <w:widowControl w:val="0"/>
        <w:shd w:val="clear" w:color="auto" w:fill="auto"/>
        <w:bidi w:val="0"/>
        <w:spacing w:before="0" w:after="0" w:line="264" w:lineRule="auto"/>
        <w:ind w:left="0" w:right="0" w:firstLine="700"/>
        <w:jc w:val="both"/>
      </w:pPr>
      <w:r>
        <w:rPr>
          <w:b/>
          <w:bCs/>
          <w:color w:val="000000"/>
          <w:spacing w:val="0"/>
          <w:w w:val="100"/>
          <w:position w:val="0"/>
          <w:shd w:val="clear" w:color="auto" w:fill="auto"/>
          <w:lang w:val="ru-RU" w:eastAsia="ru-RU" w:bidi="ru-RU"/>
        </w:rPr>
        <w:t>\ А/га- / _ предельное максимальное значение, установленное заказчиком — 4 026 000 000,00 руб.;</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Х| - значение, содержащееся в предложении участника закупки, заявка (часть заявки) которого подлежит в соответствии с Федеральным законом №44-ФЗ оценке по критерию оценки "квалификация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заявителя, установленное заказчиком предельное максимальное значение детализирующего показателя «общая цена исполненных участником закупки договоров» 4 026 000 000,00 рублей превышает более чем в 21 раз размер начальной (максимальной) цены контракта по закупке, исполненных договоров (контрактов), принимаемого для оценки, является несоразмерным и несопоставимым с начальной (максимальной) ценой контракта и объемом работ, подлежащему выполнению в рамках исполнения заключаемого по итогам настоящей закупки государственного контракта, ограничивает возможность потенциальных участников закупки получить оценку по критерию «Квалификация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пояснениям заказчика, в силу части 2 статьи 31 Закона о контрактной системе в извещении о проведении открытого конкурса заказчиком установлено:</w:t>
      </w:r>
    </w:p>
    <w:p>
      <w:pPr>
        <w:pStyle w:val="Style9"/>
        <w:keepNext w:val="0"/>
        <w:keepLines w:val="0"/>
        <w:widowControl w:val="0"/>
        <w:shd w:val="clear" w:color="auto" w:fill="auto"/>
        <w:bidi w:val="0"/>
        <w:spacing w:before="0" w:after="160" w:line="240" w:lineRule="auto"/>
        <w:ind w:left="0" w:right="0" w:firstLine="700"/>
        <w:jc w:val="both"/>
      </w:pPr>
      <w:r>
        <w:rPr>
          <w:color w:val="000000"/>
          <w:spacing w:val="0"/>
          <w:w w:val="100"/>
          <w:position w:val="0"/>
          <w:shd w:val="clear" w:color="auto" w:fill="auto"/>
          <w:lang w:val="ru-RU" w:eastAsia="ru-RU" w:bidi="ru-RU"/>
        </w:rPr>
        <w:t>Требования в соответствии с позицией 18 раздела III приложения к ПП РФ от 29.12.2021г. № 2571:</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участника закупки следующего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строительству, реконструкции автомобильной дороги.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w:t>
      </w:r>
      <w:r>
        <w:rPr>
          <w:color w:val="000000"/>
          <w:spacing w:val="0"/>
          <w:w w:val="100"/>
          <w:position w:val="0"/>
          <w:u w:val="single"/>
          <w:shd w:val="clear" w:color="auto" w:fill="auto"/>
          <w:lang w:val="ru-RU" w:eastAsia="ru-RU" w:bidi="ru-RU"/>
        </w:rPr>
        <w:t>нс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участник закупки должен представить и подтвердить опыт работ по строительству, реконструкции, капитальному ремонту, ремонту или содержанию автомобильной дороги с ценой выполненных работ нс менее 20 процентов НМЦК, т.с. не менее 36 600 000,00 руб., что также составляет предельное минимальное значение, установленное заказчиком для подсчета количества баллов по детализирующему показателю «общая цена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позицией заказчика, Положением не предусмотрены требования к порядку установления заказчиком предельного минимального значения и предельного максимального значения. Предельное минимальное значение и предельное максимальное значение установлено в соответствии с потребностью заказчика и позволяет определить лучшее значение характеристик объекта закупки, заказчику необходимо быть уверенным в том, что выполнение работ на объекте закупки будет осуществляться наиболее квалифицированным участником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пояснил, что установленный заказчиком порядок рассмотрения и оценки заявок на участие в конкурсе нс препятствуют участию в конкурсе, не создает преимущества конкретному лицу, отсутствие у участника закупки необходимого заказчику опыта работы не является основанием для отклонения его заявки от участия в конкурсе. Участник закупки, не набравший баллов по критерию «Квалификация участников закупки...», имеет возможность набрать большее количество баллов по критерию «Цена контракта» и стать победителем конкурса.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Татарстанского УФАС России приходит к выводу, что установленный порядок оценки, а именно установленное заказчиком предельное максимальное значение ограничивает участников закупки, которые желают принять участие в конкурсе, однако не имеют заключенных (исполненных) контрактов на сумму в 4 026 000 000,00 руб. либо близкое к этой сумме значение для получения большего количества баллов при оценке заявок.</w:t>
      </w:r>
    </w:p>
    <w:p>
      <w:pPr>
        <w:pStyle w:val="Style9"/>
        <w:keepNext w:val="0"/>
        <w:keepLines w:val="0"/>
        <w:widowControl w:val="0"/>
        <w:pBdr>
          <w:bottom w:val="single" w:sz="4" w:space="0" w:color="auto"/>
        </w:pBdr>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 xml:space="preserve">Действующим законодательством о контрактной системе действительно не установлено конкретных правил определения заказчиками размера предельного </w:t>
      </w:r>
      <w:r>
        <w:rPr>
          <w:color w:val="000000"/>
          <w:spacing w:val="0"/>
          <w:w w:val="100"/>
          <w:position w:val="0"/>
          <w:u w:val="single"/>
          <w:shd w:val="clear" w:color="auto" w:fill="auto"/>
          <w:lang w:val="ru-RU" w:eastAsia="ru-RU" w:bidi="ru-RU"/>
        </w:rPr>
        <w:t>минимального и максимального значений. При этом, Комиссия отмечает, что такой размер должен быть разумным, целесообразным и обоснованным.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Заказчиком установлено предельное минимальное значение цены исполненных участником закупки договоров в размере 20% от начальной (максимальной) цены контракта, а именно 36 600 000,00 руб., </w:t>
      </w:r>
      <w:r>
        <w:rPr>
          <w:color w:val="000000"/>
          <w:spacing w:val="0"/>
          <w:w w:val="100"/>
          <w:position w:val="0"/>
          <w:u w:val="single"/>
          <w:shd w:val="clear" w:color="auto" w:fill="auto"/>
          <w:lang w:val="ru-RU" w:eastAsia="ru-RU" w:bidi="ru-RU"/>
        </w:rPr>
        <w:t>тогда как предельное максимальное значение заключенных (исполненных) договоров (контрактов) в 22 раза превышает НМЦК.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рассматриваемом случае, потенциальный участник закупки может иметь в наличии соответствующий опыт выполнения работ, а именно заключенные (исполненные) контракты на оказание сопоставимых услуг на меньшую сумму, чем 4 026 000 000,00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примеру, участник закупки, который имеет опыт работ по исполненным государственным контрактам, сумма которых соответствует начальной (максимальной) цене контракта и составляет 183 000 000, 00 рублей. При оценке заявки по критерию «Квалификация участников закупки...» он получит всего 3,67 балла из возможных 40 баллов. В то же время, участник закупки, который имеет опыт работ по исполненным государственным контрактам, сумма которых равна предельному максимальному значению, установленному заказчиком, а именно 4 026 000 000, 00 рублей при оценке заявки по критерию «Квалификация участников закупки...» получит 40 баллов из возможных 40 баллов. Но при этом данное обстоятельство не свидетельствует о том, что первый участник не способен выполнить требуемые работы либо выполнить их менее качественно.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Установление предельного максимального значения в размере 4 026 000 000, 00 рублей в рассматриваемом случае является несоразмерным.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целях применения Закона о контрактной системе, а также расширения возможностей участия юридических и физических лиц в закупке товаров, работ, услуг для нужд заказчиков и стимулирования такого участия, развития добросовестной конкуренции, обеспечения гласности и прозрачности закупок, предотвращения коррупции и других злоупотреблений, под порядком оценки и сопоставления заявок следует понимать детальный алгоритм действий, подлежащих осуществлению со стороны закупочной комиссии в целях определения победителя проводимой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этой связи, в извещении должны быть раскрыты сведения о порядке формирования и подачи заявок, разрешения вопроса об их соответствии и отклонения таких заявок, порядке определения победителя закупки (с указанием всех осуществляемых закупочной комиссией в этих целях действий, включая сведения о порядке присвоения заявкам балльных оценок в случае их сопоставления по набранным баллам), а также о порядке заключения контракта по результатам проведенной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Обратное неизбежно приведет к злоупотреблениям со стороны заказчиков, стремящихся, используя несовершенство действующего законодательства, заключить контракты именно с заранее определенными лицами.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Критерии начисления баллов, а также вес (ценность) в баллах каждой разновидности документов являются необходимыми для участников закупки, </w:t>
      </w:r>
      <w:r>
        <w:rPr>
          <w:color w:val="000000"/>
          <w:spacing w:val="0"/>
          <w:w w:val="100"/>
          <w:position w:val="0"/>
          <w:shd w:val="clear" w:color="auto" w:fill="auto"/>
          <w:lang w:val="ru-RU" w:eastAsia="ru-RU" w:bidi="ru-RU"/>
        </w:rPr>
        <w:t>поскольку их наличие не только соответствует принципам открытости и прозрачности закупок, в том числе при определении победителя, но и является стимулирующим фактором при подаче заявок, а также направлено на поддержание конкуренции, нивелирование споров и разногласий участников и организаторов закупок при подведении их итогов.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па положениях Бюджетного кодекса Российской Федерации (далее - Бюджетный кодекс).</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со статьями 69 и 72 Бюджетного кодекса закупки товаров, работ, услуг для обеспечения государственных (муниципальных) нужд производятся за счет бюджетных ассигнований (расходы бюджетов), осуществление которых согласно статье 34 Бюджетного кодекса должно отвечать принципу эффективности -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названных положений бюджетного законодательства к числу основных принципов контрактной системы согласно статье 6, части 1 статьи 12 Закона о контрактной системе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нс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настоящем случае рассмотрение заявок участников закупки не позволяет выявить лучшее условие исполнения контракта. Установленный заказчиком критерий оценки создает преимущественные условия для определенных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рассматриваемом случае извещение содержит необъективный порядок оценки.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довод заявителя признан обоснованным.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Учитывая изложенное, действия заказчика по установлению ненадлежащего порядка оценки нарушают требования статьи 8, пункта 4 части 1 статьи 32, пункта 4 части 2 статьи 42 Закона о контрактной системе.</w:t>
      </w:r>
    </w:p>
    <w:p>
      <w:pPr>
        <w:pStyle w:val="Style9"/>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numPr>
          <w:ilvl w:val="0"/>
          <w:numId w:val="7"/>
        </w:numPr>
        <w:shd w:val="clear" w:color="auto" w:fill="auto"/>
        <w:tabs>
          <w:tab w:pos="11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заявителя ИП Кукушкиной Ангелины Сергеевны (вх. №4145/ж от 21.04.2023г.) на действия заказчика ФКУ «Федеральное управление автомобильных дорог Волго-вятского региона Федерального дорожного агентства» при проведении закупки (открытый конкурс) №0311100007223000014 на предмет: «Расчистка полосы отвода федеральной автомобильной дороги Р-177 "Поветлужье" Нижний Новгород - Йошкар-Ола, Республика Марий Эл» обоснованной.</w:t>
      </w:r>
    </w:p>
    <w:p>
      <w:pPr>
        <w:pStyle w:val="Style9"/>
        <w:keepNext w:val="0"/>
        <w:keepLines w:val="0"/>
        <w:widowControl w:val="0"/>
        <w:numPr>
          <w:ilvl w:val="0"/>
          <w:numId w:val="7"/>
        </w:numPr>
        <w:shd w:val="clear" w:color="auto" w:fill="auto"/>
        <w:tabs>
          <w:tab w:pos="11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заказчика ФКУ «Федеральное управление автомобильных дорог Вол го-вятского региона Федерального дорожного агентства» нарушившим требования статьи 8, пункта 4 части 1 статьи 32, пункта 4 части 2 статьи 42 Федерального закона от 05.04.2013г. №44-ФЗ «О контрактной системе в сфере закупок товаров, работ, услуг для обеспечения государственных и муниципальных </w:t>
      </w:r>
      <w:r>
        <w:rPr>
          <w:color w:val="000000"/>
          <w:spacing w:val="0"/>
          <w:w w:val="100"/>
          <w:position w:val="0"/>
          <w:shd w:val="clear" w:color="auto" w:fill="auto"/>
          <w:lang w:val="ru-RU" w:eastAsia="ru-RU" w:bidi="ru-RU"/>
        </w:rPr>
        <w:t>нужд».</w:t>
      </w:r>
    </w:p>
    <w:p>
      <w:pPr>
        <w:pStyle w:val="Style9"/>
        <w:keepNext w:val="0"/>
        <w:keepLines w:val="0"/>
        <w:widowControl w:val="0"/>
        <w:numPr>
          <w:ilvl w:val="0"/>
          <w:numId w:val="7"/>
        </w:numPr>
        <w:shd w:val="clear" w:color="auto" w:fill="auto"/>
        <w:tabs>
          <w:tab w:pos="11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ФКУ «Федеральное управление автомобильных дорог Вол го-вятского региона Федерального дорожного агентства» предписание об устранении нарушений действующего законодательства.</w:t>
      </w:r>
    </w:p>
    <w:p>
      <w:pPr>
        <w:pStyle w:val="Style9"/>
        <w:keepNext w:val="0"/>
        <w:keepLines w:val="0"/>
        <w:widowControl w:val="0"/>
        <w:numPr>
          <w:ilvl w:val="0"/>
          <w:numId w:val="7"/>
        </w:numPr>
        <w:shd w:val="clear" w:color="auto" w:fill="auto"/>
        <w:tabs>
          <w:tab w:pos="11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pStyle w:val="Style9"/>
        <w:keepNext w:val="0"/>
        <w:keepLines w:val="0"/>
        <w:widowControl w:val="0"/>
        <w:shd w:val="clear" w:color="auto" w:fill="auto"/>
        <w:tabs>
          <w:tab w:pos="6106" w:val="left"/>
        </w:tabs>
        <w:bidi w:val="0"/>
        <w:spacing w:before="0" w:after="140" w:line="240" w:lineRule="auto"/>
        <w:ind w:left="0" w:right="0" w:firstLine="74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tab/>
        <w:t>.</w:t>
      </w:r>
    </w:p>
    <w:p>
      <w:pPr>
        <w:pStyle w:val="Style9"/>
        <w:keepNext w:val="0"/>
        <w:keepLines w:val="0"/>
        <w:widowControl w:val="0"/>
        <w:shd w:val="clear" w:color="auto" w:fill="auto"/>
        <w:tabs>
          <w:tab w:pos="5144" w:val="left"/>
          <w:tab w:pos="9144" w:val="left"/>
        </w:tabs>
        <w:bidi w:val="0"/>
        <w:spacing w:before="0" w:after="240" w:line="240" w:lineRule="auto"/>
        <w:ind w:left="0" w:right="0" w:firstLine="0"/>
        <w:jc w:val="both"/>
      </w:pPr>
      <w:r>
        <w:rPr>
          <w:color w:val="000000"/>
          <w:spacing w:val="0"/>
          <w:w w:val="100"/>
          <w:position w:val="0"/>
          <w:shd w:val="clear" w:color="auto" w:fill="auto"/>
          <w:lang w:val="ru-RU" w:eastAsia="ru-RU" w:bidi="ru-RU"/>
        </w:rPr>
        <w:t>Зам. Председателя Комиссии</w:t>
        <w:tab/>
      </w:r>
      <w:r>
        <w:rPr>
          <w:color w:val="625DB1"/>
          <w:spacing w:val="0"/>
          <w:w w:val="100"/>
          <w:position w:val="0"/>
          <w:shd w:val="clear" w:color="auto" w:fill="auto"/>
          <w:lang w:val="ru-RU" w:eastAsia="ru-RU" w:bidi="ru-RU"/>
        </w:rPr>
        <w:t>(</w:t>
        <w:tab/>
      </w:r>
      <w:r>
        <w:rPr>
          <w:color w:val="000000"/>
          <w:spacing w:val="0"/>
          <w:w w:val="100"/>
          <w:position w:val="0"/>
          <w:shd w:val="clear" w:color="auto" w:fill="auto"/>
          <w:lang w:val="ru-RU" w:eastAsia="ru-RU" w:bidi="ru-RU"/>
        </w:rPr>
        <w:t>Казаков</w:t>
      </w:r>
    </w:p>
    <w:p>
      <w:pPr>
        <w:pStyle w:val="Style9"/>
        <w:keepNext w:val="0"/>
        <w:keepLines w:val="0"/>
        <w:widowControl w:val="0"/>
        <w:shd w:val="clear" w:color="auto" w:fill="auto"/>
        <w:bidi w:val="0"/>
        <w:spacing w:before="0" w:after="140" w:line="240" w:lineRule="auto"/>
        <w:ind w:left="7740" w:right="0" w:firstLine="0"/>
        <w:jc w:val="left"/>
      </w:pPr>
      <w:r>
        <w:rPr>
          <w:i/>
          <w:iCs/>
          <w:color w:val="625DB1"/>
          <w:spacing w:val="0"/>
          <w:w w:val="100"/>
          <w:position w:val="0"/>
          <w:shd w:val="clear" w:color="auto" w:fill="auto"/>
          <w:lang w:val="ru-RU" w:eastAsia="ru-RU" w:bidi="ru-RU"/>
        </w:rPr>
        <w:t>Л</w:t>
      </w:r>
    </w:p>
    <w:p>
      <w:pPr>
        <w:pStyle w:val="Style9"/>
        <w:keepNext w:val="0"/>
        <w:keepLines w:val="0"/>
        <w:widowControl w:val="0"/>
        <w:shd w:val="clear" w:color="auto" w:fill="auto"/>
        <w:tabs>
          <w:tab w:pos="6980" w:val="left"/>
        </w:tabs>
        <w:bidi w:val="0"/>
        <w:spacing w:before="0" w:after="500" w:line="240" w:lineRule="auto"/>
        <w:ind w:left="0" w:right="0" w:firstLine="0"/>
        <w:jc w:val="both"/>
      </w:pPr>
      <w:r>
        <w:rPr>
          <w:color w:val="000000"/>
          <w:spacing w:val="0"/>
          <w:w w:val="100"/>
          <w:position w:val="0"/>
          <w:shd w:val="clear" w:color="auto" w:fill="auto"/>
          <w:lang w:val="ru-RU" w:eastAsia="ru-RU" w:bidi="ru-RU"/>
        </w:rPr>
        <w:t>Члены Комиссии</w:t>
        <w:tab/>
      </w:r>
      <w:r>
        <w:rPr>
          <w:i/>
          <w:iCs/>
          <w:color w:val="302A8D"/>
          <w:spacing w:val="0"/>
          <w:w w:val="100"/>
          <w:position w:val="0"/>
          <w:shd w:val="clear" w:color="auto" w:fill="auto"/>
          <w:lang w:val="ru-RU" w:eastAsia="ru-RU" w:bidi="ru-RU"/>
        </w:rPr>
        <w:t>///д</w:t>
      </w:r>
      <w:r>
        <w:rPr>
          <w:color w:val="302A8D"/>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Л.Р. Гиниятуллина</w:t>
      </w:r>
    </w:p>
    <w:p>
      <w:pPr>
        <w:pStyle w:val="Style9"/>
        <w:keepNext w:val="0"/>
        <w:keepLines w:val="0"/>
        <w:widowControl w:val="0"/>
        <w:shd w:val="clear" w:color="auto" w:fill="auto"/>
        <w:tabs>
          <w:tab w:leader="hyphen" w:pos="871" w:val="left"/>
        </w:tabs>
        <w:bidi w:val="0"/>
        <w:spacing w:before="0" w:after="820" w:line="240" w:lineRule="auto"/>
        <w:ind w:left="0" w:right="0" w:firstLine="0"/>
        <w:jc w:val="right"/>
      </w:pPr>
      <w:r>
        <w:rPr>
          <w:color w:val="625DB1"/>
          <w:spacing w:val="0"/>
          <w:w w:val="100"/>
          <w:position w:val="0"/>
          <w:shd w:val="clear" w:color="auto" w:fill="auto"/>
          <w:lang w:val="ru-RU" w:eastAsia="ru-RU" w:bidi="ru-RU"/>
        </w:rPr>
        <w:t>—</w:t>
        <w:tab/>
      </w:r>
      <w:r>
        <w:rPr>
          <w:color w:val="000000"/>
          <w:spacing w:val="0"/>
          <w:w w:val="100"/>
          <w:position w:val="0"/>
          <w:shd w:val="clear" w:color="auto" w:fill="auto"/>
          <w:lang w:val="ru-RU" w:eastAsia="ru-RU" w:bidi="ru-RU"/>
        </w:rPr>
        <w:t>М.А. Тимофеев</w:t>
      </w:r>
    </w:p>
    <w:p>
      <w:pPr>
        <w:pStyle w:val="Style26"/>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ru-RU" w:eastAsia="ru-RU" w:bidi="ru-RU"/>
        </w:rPr>
        <w:t>Исп.: Гиниятуллина Лейсан Рустамовна Тел. (843) 238-24-86</w:t>
      </w:r>
    </w:p>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982" w:right="499" w:bottom="1068" w:left="1087" w:header="0" w:footer="640"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788670</wp:posOffset>
              </wp:positionH>
              <wp:positionV relativeFrom="page">
                <wp:posOffset>10179685</wp:posOffset>
              </wp:positionV>
              <wp:extent cx="567055" cy="114300"/>
              <wp:wrapNone/>
              <wp:docPr id="7" name="Shape 7"/>
              <a:graphic xmlns:a="http://schemas.openxmlformats.org/drawingml/2006/main">
                <a:graphicData uri="http://schemas.microsoft.com/office/word/2010/wordprocessingShape">
                  <wps:wsp>
                    <wps:cNvSpPr txBox="1"/>
                    <wps:spPr>
                      <a:xfrm>
                        <a:ext cx="567055" cy="1143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220382</w:t>
                          </w:r>
                        </w:p>
                      </w:txbxContent>
                    </wps:txbx>
                    <wps:bodyPr wrap="none" lIns="0" tIns="0" rIns="0" bIns="0">
                      <a:spAutoFit/>
                    </wps:bodyPr>
                  </wps:wsp>
                </a:graphicData>
              </a:graphic>
            </wp:anchor>
          </w:drawing>
        </mc:Choice>
        <mc:Fallback>
          <w:pict>
            <v:shape id="_x0000_s1033" type="#_x0000_t202" style="position:absolute;margin-left:62.100000000000001pt;margin-top:801.55000000000007pt;width:44.649999999999999pt;height:9.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220382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3936365</wp:posOffset>
              </wp:positionH>
              <wp:positionV relativeFrom="page">
                <wp:posOffset>448310</wp:posOffset>
              </wp:positionV>
              <wp:extent cx="59690" cy="111760"/>
              <wp:wrapNone/>
              <wp:docPr id="5" name="Shape 5"/>
              <a:graphic xmlns:a="http://schemas.openxmlformats.org/drawingml/2006/main">
                <a:graphicData uri="http://schemas.microsoft.com/office/word/2010/wordprocessingShape">
                  <wps:wsp>
                    <wps:cNvSpPr txBox="1"/>
                    <wps:spPr>
                      <a:xfrm>
                        <a:ext cx="59690" cy="1117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94999999999999pt;margin-top:35.300000000000004pt;width:4.7000000000000002pt;height:8.8000000000000007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3944620</wp:posOffset>
              </wp:positionH>
              <wp:positionV relativeFrom="page">
                <wp:posOffset>443865</wp:posOffset>
              </wp:positionV>
              <wp:extent cx="64135" cy="109855"/>
              <wp:wrapNone/>
              <wp:docPr id="15" name="Shape 15"/>
              <a:graphic xmlns:a="http://schemas.openxmlformats.org/drawingml/2006/main">
                <a:graphicData uri="http://schemas.microsoft.com/office/word/2010/wordprocessingShape">
                  <wps:wsp>
                    <wps:cNvSpPr txBox="1"/>
                    <wps:spPr>
                      <a:xfrm>
                        <a:ext cx="6413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10.60000000000002pt;margin-top:34.950000000000003pt;width:5.0499999999999998pt;height:8.6500000000000004pt;z-index:-1887440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3944620</wp:posOffset>
              </wp:positionH>
              <wp:positionV relativeFrom="page">
                <wp:posOffset>443865</wp:posOffset>
              </wp:positionV>
              <wp:extent cx="64135" cy="109855"/>
              <wp:wrapNone/>
              <wp:docPr id="17" name="Shape 17"/>
              <a:graphic xmlns:a="http://schemas.openxmlformats.org/drawingml/2006/main">
                <a:graphicData uri="http://schemas.microsoft.com/office/word/2010/wordprocessingShape">
                  <wps:wsp>
                    <wps:cNvSpPr txBox="1"/>
                    <wps:spPr>
                      <a:xfrm>
                        <a:ext cx="6413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10.60000000000002pt;margin-top:34.950000000000003pt;width:5.0499999999999998pt;height:8.6500000000000004pt;z-index:-18874405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7C94B8"/>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color w:val="7C94B8"/>
      <w:sz w:val="16"/>
      <w:szCs w:val="16"/>
      <w:u w:val="none"/>
    </w:rPr>
  </w:style>
  <w:style w:type="character" w:customStyle="1" w:styleId="CharStyle7">
    <w:name w:val="Основной текст (5)_"/>
    <w:basedOn w:val="DefaultParagraphFont"/>
    <w:link w:val="Style6"/>
    <w:rPr>
      <w:rFonts w:ascii="Verdana" w:eastAsia="Verdana" w:hAnsi="Verdana" w:cs="Verdana"/>
      <w:b w:val="0"/>
      <w:bCs w:val="0"/>
      <w:i w:val="0"/>
      <w:iCs w:val="0"/>
      <w:smallCaps w:val="0"/>
      <w:strike w:val="0"/>
      <w:sz w:val="15"/>
      <w:szCs w:val="15"/>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val="0"/>
      <w:bCs w:val="0"/>
      <w:i w:val="0"/>
      <w:iCs w:val="0"/>
      <w:smallCaps w:val="0"/>
      <w:strike w:val="0"/>
      <w:sz w:val="32"/>
      <w:szCs w:val="32"/>
      <w:u w:val="none"/>
    </w:rPr>
  </w:style>
  <w:style w:type="character" w:customStyle="1" w:styleId="CharStyle27">
    <w:name w:val="Основной текст (4)_"/>
    <w:basedOn w:val="DefaultParagraphFont"/>
    <w:link w:val="Style26"/>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280"/>
      <w:jc w:val="center"/>
    </w:pPr>
    <w:rPr>
      <w:rFonts w:ascii="Times New Roman" w:eastAsia="Times New Roman" w:hAnsi="Times New Roman" w:cs="Times New Roman"/>
      <w:b/>
      <w:bCs/>
      <w:i w:val="0"/>
      <w:iCs w:val="0"/>
      <w:smallCaps w:val="0"/>
      <w:strike w:val="0"/>
      <w:color w:val="7C94B8"/>
      <w:u w:val="none"/>
    </w:rPr>
  </w:style>
  <w:style w:type="paragraph" w:customStyle="1" w:styleId="Style4">
    <w:name w:val="Основной текст (2)"/>
    <w:basedOn w:val="Normal"/>
    <w:link w:val="CharStyle5"/>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7C94B8"/>
      <w:sz w:val="16"/>
      <w:szCs w:val="16"/>
      <w:u w:val="none"/>
    </w:rPr>
  </w:style>
  <w:style w:type="paragraph" w:customStyle="1" w:styleId="Style6">
    <w:name w:val="Основной текст (5)"/>
    <w:basedOn w:val="Normal"/>
    <w:link w:val="CharStyle7"/>
    <w:pPr>
      <w:widowControl w:val="0"/>
      <w:shd w:val="clear" w:color="auto" w:fill="auto"/>
      <w:spacing w:line="305" w:lineRule="auto"/>
    </w:pPr>
    <w:rPr>
      <w:rFonts w:ascii="Verdana" w:eastAsia="Verdana" w:hAnsi="Verdana" w:cs="Verdana"/>
      <w:b w:val="0"/>
      <w:bCs w:val="0"/>
      <w:i w:val="0"/>
      <w:iCs w:val="0"/>
      <w:smallCaps w:val="0"/>
      <w:strike w:val="0"/>
      <w:sz w:val="15"/>
      <w:szCs w:val="15"/>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2"/>
      <w:szCs w:val="32"/>
      <w:u w:val="none"/>
    </w:rPr>
  </w:style>
  <w:style w:type="paragraph" w:customStyle="1" w:styleId="Style26">
    <w:name w:val="Основной текст (4)"/>
    <w:basedOn w:val="Normal"/>
    <w:link w:val="CharStyle27"/>
    <w:pPr>
      <w:widowControl w:val="0"/>
      <w:shd w:val="clear" w:color="auto" w:fill="auto"/>
      <w:spacing w:after="280" w:line="271" w:lineRule="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