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ю51 @Гав.§оу.ги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МГ/1587/2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Комитет имущественных отношений города Мурманска кю@сйутштаап8к.ги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Комитет по конкурентной политике</w:t>
      </w:r>
    </w:p>
    <w:p>
      <w:pPr>
        <w:pStyle w:val="Style1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Мурманской области </w:t>
      </w: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до87ака7@доу-тигтапги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57" w:bottom="1313" w:left="1140" w:header="0" w:footer="3" w:gutter="0"/>
          <w:pgNumType w:start="1"/>
          <w:cols w:num="2" w:space="720" w:equalWidth="0">
            <w:col w:w="4219" w:space="1042"/>
            <w:col w:w="474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ИП Ищенко Александр Александрович р.гадо@тай.ги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3" w:right="0" w:bottom="12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051/06/106-247/2023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790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</w:t>
        <w:tab/>
        <w:t>город Мурманск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 Мурманского УФАС России: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Гребенюковой М.Е. -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 Мурманского УФАС России: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Неплюевой А.В. - заместителя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Калининой А.А. - специалиста-эксперта отдела контроля торгов Управления Федеральной антимонопольной службы по Мурманской области, при участии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Комитета по конкурентной политике Мурманской области - Базоевой Л.В. (по доеверенности),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Комитета имущественных отношений города Мурманска - Соповой Е.А.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индивидуального предпринимателя Ищенко А.А. - Чиликовой И.С.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Ищенко А.А. (далее - ИП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50800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Ищенко А.А.) на действия Комитета имущественных отношений города Мурманска (далее - Заказчик), при проведении электронного аукциона «Приобретение жилого помещения для нужд муниципального образования город Мурманск с целью обеспечения жильем граждан, проживающих в многоквартирных домах, расселение и последующий снос которых предусмотрены в рамках реализации комплексного развития территорий» (реестровый номер извещения 0149200002323001999) (далее - Аукцион),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20.04.2023 в Единой информационной системе в сфере закупок - \у\у\у./акирк1.до«ти (далее — ЕИС) размещено извещение о проведении аукциона в электронной форме.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Организация, осуществляющая размещение: Комитет по конкурентной политике Мурманской области.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 Комитет имущественных отношений города Мурманска.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закупки: Приобретение жилого помещения для нужд муниципального образования город Мурманск с целью обеспечения жильем граждан, проживающих в многоквартирных домах, расселение и последующий снос которых предусмотрены в рамках реализации комплексного развития территорий.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4 977 560,00 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Ищенко А.А., обратился в Мурманское УФАС России с жалобой на действия Заказчика при проведении электронного аукциона № 0149200002323001999, на «Приобретение жилого помещения для нужд муниципального образования город Мурманск с целью обеспечения жильем граждан, проживающих в многоквартирных домах, расселение и последующий снос которых предусмотрены в рамках реализации комплексного развития территорий».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Заявителя, Заказчиком в описании объекта закупки неправомерно установлено следующее требование: «В случае если квартира расположена на последнем этаже, в доме должен быть произведен капитальный ремонт крыши (кровли), включающий участок крыши (кровли) над предлагаемой квартирой, после 01.01.2016 (требование не распространяется на дома, введенные в эксплуатацию после 01.01.2012). Справка из организации, осуществляющей управление многоквартирным домом, о произведенном в доме капитальном ремонте крыши (кровли) должна быть предоставлена исполнителем заказчику до подписания акта приема- передачи».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данное условие является нарушением прав и интересов участников закупки, так как противоречит требованиям, установленными в статье 33 Федерального закона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что потенциальным исполнителям необоснованно предъявлены требования относительно произведенного капитального ремонта крыши с предоставлением справки из организации, осуществляющей управление многоквартирным домом, о произведенном в доме капитальном ремонте крыши.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заказчиком в извещении показатели и требования к предмету закупки нарушают принципы обеспечения конкуренции, в том числе, нарушают статью 10 Федерального закона от 26.07.2006 № 135-ФЗ «О защите конкуренции» (далее - Закон о защите конкуренции).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Просит признать жалобу обоснованной, провести внеплановую проверку и выдать обязательное для исполнения предписание о внесении изменений.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уполномоченного органа и Заказчика с доводами жалобы не согласны, представили письменные возражения.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Заявителя рассмотрена дистанционно посредством сервиса веб</w:t>
        <w:softHyphen/>
        <w:t>видеоконференцсвязи 28 апреля 2023 года в 11 часов 00 минут.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изучив доводы Заявителя, выслушав пояснения Комитета по конкурентной политике Мурманской области и Заказчика, исследовав представленные сторонами документы, приходит к следующим выводам.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пунктам 1,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смыслу статьи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параметров и характеристик товара, в наибольшей степени удовлетворяющих его потребности.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электронном документе «Описание объекта закупки» (техническое задание) содержатся характеристики жилого помещения, приобретаемого для нужд муниципального образования город Мурманск с целью обеспечения жильем граждан, проживающих в многоквартирных домах, расселение и последующий снос которых предусмотрены в рамках реализации комплексного развития территорий.</w:t>
      </w:r>
    </w:p>
    <w:tbl>
      <w:tblPr>
        <w:tblOverlap w:val="never"/>
        <w:jc w:val="center"/>
        <w:tblLayout w:type="fixed"/>
      </w:tblPr>
      <w:tblGrid>
        <w:gridCol w:w="230"/>
        <w:gridCol w:w="312"/>
        <w:gridCol w:w="1138"/>
        <w:gridCol w:w="1704"/>
        <w:gridCol w:w="2549"/>
        <w:gridCol w:w="4118"/>
      </w:tblGrid>
      <w:tr>
        <w:trPr>
          <w:trHeight w:val="1018" w:hRule="exact"/>
        </w:trPr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 (т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имен в№ар п/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ование товара ый знак (при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наличии), его словесное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обозначение)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Количество, 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Показатель (характеристика)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показателя (характеристики) товара, или эквивалентности предлагаемого к поставке товара, позволяющего определить соответствие потребностям заказчика</w:t>
            </w:r>
          </w:p>
        </w:tc>
      </w:tr>
      <w:tr>
        <w:trPr>
          <w:trHeight w:val="192" w:hRule="exact"/>
        </w:trPr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653" w:hRule="exact"/>
        </w:trPr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Квартира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1, квартира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комнат, 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Три</w:t>
            </w:r>
          </w:p>
        </w:tc>
      </w:tr>
      <w:tr>
        <w:trPr>
          <w:trHeight w:val="965" w:hRule="exact"/>
        </w:trPr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Общая площадь квартиры, м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менее 61,3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7"/>
        <w:gridCol w:w="1133"/>
        <w:gridCol w:w="1704"/>
        <w:gridCol w:w="2549"/>
        <w:gridCol w:w="4118"/>
      </w:tblGrid>
      <w:tr>
        <w:trPr>
          <w:trHeight w:val="66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Этаж нахождения квартиры, номер этажа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781" w:val="left"/>
                <w:tab w:pos="301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bookmarkStart w:id="3" w:name="bookmark3"/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Исключаются</w:t>
              <w:tab/>
              <w:t>этажи</w:t>
            </w:r>
            <w:hyperlink w:anchor="bookmark0" w:tooltip="Current Document">
              <w:r>
                <w:rPr>
                  <w:color w:val="000000"/>
                  <w:spacing w:val="0"/>
                  <w:w w:val="100"/>
                  <w:position w:val="0"/>
                  <w:sz w:val="20"/>
                  <w:szCs w:val="20"/>
                  <w:shd w:val="clear" w:color="auto" w:fill="auto"/>
                  <w:vertAlign w:val="superscript"/>
                  <w:lang w:val="ru-RU" w:eastAsia="ru-RU" w:bidi="ru-RU"/>
                </w:rPr>
                <w:footnoteReference w:id="2"/>
              </w:r>
            </w:hyperlink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:</w:t>
              <w:tab/>
              <w:t>цокольный,</w:t>
            </w:r>
            <w:bookmarkEnd w:id="3"/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подвальный, технический, мансардный</w:t>
            </w:r>
          </w:p>
        </w:tc>
      </w:tr>
      <w:tr>
        <w:trPr>
          <w:trHeight w:val="65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Город местонахождения квартиры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Мурманск</w:t>
            </w:r>
          </w:p>
        </w:tc>
      </w:tr>
      <w:tr>
        <w:trPr>
          <w:trHeight w:val="65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Наименование улицы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Исключаются районы: Дровяное, Абрам- мыс, Три ручья, Росляково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характеристикам квартиры установлены в соответствии с разделом 4 «Комплекс программных мероприятий» региональной адресной программы «Переселение граждан из аварийного жилищного фонда в Мурманской области» на 2019 - 2024 годы», утвержденной постановлением Правительства Мурманской области от 01.04.2019 № 153-ПП (далее - Региональная адресная программа). Понятие «общая площадь квартиры» применено заказчиком и должно быть применено участником закупки в соответствии с пунктом 5 статьи 15 и пунктом 1 статьи 16 Жилищного кодекса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3 электронного документа «Описание объекта закупки» установлены требования к техническим, функциональным характеристикам и эксплуатационным характеристикам (потребительским свойствам)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пояснил представитель Заказчика, характеристики жилого помещения сформированы на основании анализа количественных и качественных показателей существующего в городе Мурманска жилого фонда, а именно: количества домов, в которых проведен капитальный ремонт кровли, результатов проведенных ранее аукционов на приобретение жилья, позволяющих установить ценовые предложения на квартиры со схожими характеристиками.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удовлетворительному состоянию крыши (кровли) домов, квартиры в которых на крайних этажах приобретаются комитетом для дальнейшего предоставления гражданам не влекут за собой ограничение конкуренции и нарушение прав потенциальных участников торгов, так как данным требованиям соответствует не единственный объект, что подтверждается списком адресов многоквартирных домов с официального сайта Фонда капитального ремонта по Мурманской области, находящегося в открытом доступе сети Интернет.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Предоставление жилых помещений собственникам и нанимателям жилых помещений должно осуществляться исходя из требований жилищного законодательства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2 статьи 15 Жилищного кодекса Российской Федерации жилым помещением признается изолированное помещение, которое является недвижимым имуществом и пригодно для постоянного проживания граждан (отвечает установленным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санитарным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 техническим правилам и нормам, иным требованиям законодательства.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соответствии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пунктом 16 раздела 2 Постановления Правительства РФ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28.01.2006 № 47 «Об утверждении Положения о признании помещения жилым помещением» жилые помещения, а также помещения, входящие в состав общего имущества собственников помещений в многоквартирном доме, должны быть защищены от проникновения дождевой, талой и грунтовой воды и возможных бытовых утечек воды из инженерных систем при помощи конструктивных средств и технических устройств.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Комитет, в целях недопущения отказов от предлагаемых к заселению гражданам жилых помещений, должен подтвердить, в том числе и документально, что жилое помещение является безопасным и комфортным для проживания.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определяя требования по многоквартирному дому в которых проведен капитальный ремонт кровли Комитет руководствовался целью приобретения жилья более высокого качества; отсутствие в аукционной документации требования к жилому помещению без проведения капитального ремонта кровли может повлечь неэффективное расходование бюджетных средств в связи с возможностью отказа в будущем мены жилыми помещениями, а также возможными протечками кровли и причинению ущерба имуществу собственнику жилого помещения, длительностью незаселения граждан в приобретенное жилое помещение, несению дополнительных расходов по содержанию пустующего и не распределённого жилья.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пояснений представителя Заказчика следует, что указанные в описании объекта закупки характеристики отражают действительную потребность Заказчика в товаре, который в наибольшей степени соответствует целям переселения граждан из аварийного жилищного фонда, приобретения жилья высокого качества.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установлено единое требование ко всем участникам закупки, что исключает дискриминационный подход и потенциальную возможность ограничения конкуренции.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были представлены доказательства, свидетельствующие о том, что установленные Заказчиком требования могут привести к ограничению конкуренции.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описание объекта закупки осуществлено Заказчиком в соответствии с требованиями статьи 33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доводов Заявителя, относительно наличия в действиях Заказчика нарушений статьи 10 Закона о защите конкуренции, Комиссия Мурманского УФАС России считает необходимым пояснить, что Заказчик - Комитет имущественных отношений города Мурманска не является доминантом в понимании статьи 10 Закона о защите конкуренции.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довод жалобы является необоснованным.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Ищенко А.А. на действия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Комитета имущественных отношений города Мурманска при проведении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электронного аукциона «Приобретение жилого помещения для нужд муниципального образования город Мурманск с целью обеспечения жильем граждан, проживающих в многоквартирных домах, расселение и последующий снос которых предусмотрены в рамках реализации комплексного развития территорий» (реестровый номер извещения 0149200002323001999)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left"/>
        <w:rPr>
          <w:sz w:val="28"/>
          <w:szCs w:val="28"/>
        </w:rPr>
      </w:pPr>
      <w:r>
        <w:drawing>
          <wp:anchor distT="94615" distB="0" distL="114300" distR="4217035" simplePos="0" relativeHeight="125829379" behindDoc="0" locked="0" layoutInCell="1" allowOverlap="1">
            <wp:simplePos x="0" y="0"/>
            <wp:positionH relativeFrom="page">
              <wp:posOffset>2607945</wp:posOffset>
            </wp:positionH>
            <wp:positionV relativeFrom="paragraph">
              <wp:posOffset>107315</wp:posOffset>
            </wp:positionV>
            <wp:extent cx="311150" cy="35941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3001010</wp:posOffset>
                </wp:positionH>
                <wp:positionV relativeFrom="paragraph">
                  <wp:posOffset>177165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36.30000000000001pt;margin-top:13.950000000000001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1295" distL="3110230" distR="114300" simplePos="0" relativeHeight="125829380" behindDoc="0" locked="0" layoutInCell="1" allowOverlap="1">
                <wp:simplePos x="0" y="0"/>
                <wp:positionH relativeFrom="page">
                  <wp:posOffset>5603875</wp:posOffset>
                </wp:positionH>
                <wp:positionV relativeFrom="paragraph">
                  <wp:posOffset>12700</wp:posOffset>
                </wp:positionV>
                <wp:extent cx="1417320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М.Е. Гребенюкова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1.25pt;margin-top:1.pt;width:111.60000000000001pt;height:19.900000000000002pt;z-index:-125829373;mso-wrap-distance-left:244.90000000000001pt;mso-wrap-distance-right:9.pt;mso-wrap-distance-bottom:15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М.Е. Гребенюкова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Зам. председателя комиссии</w:t>
      </w:r>
    </w:p>
    <w:p>
      <w:pPr>
        <w:pStyle w:val="Style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Гребенюкова Маргарита Евгеньевна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00070С5В0270А32676СА50332С73Е726С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9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05.12.2022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28.02.2024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2586355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466090</wp:posOffset>
                </wp:positionV>
                <wp:extent cx="127698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9.90000000000001pt;margin-top:36.700000000000003pt;width:100.5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3001010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6.30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А.В. Неплюева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96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Неплнзева Анна Владимировна 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1201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Е9Е101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1АОЕ606С82ССА5575Е01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left="296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5850890</wp:posOffset>
                </wp:positionH>
                <wp:positionV relativeFrom="paragraph">
                  <wp:posOffset>266700</wp:posOffset>
                </wp:positionV>
                <wp:extent cx="1170305" cy="25273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Калинина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0.69999999999999pt;margin-top:21.pt;width:92.150000000000006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Калинина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05.12.2022 по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28.02.2024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0" w:line="218" w:lineRule="auto"/>
        <w:ind w:left="3600" w:right="0" w:firstLine="20"/>
        <w:jc w:val="left"/>
        <w:rPr>
          <w:sz w:val="12"/>
          <w:szCs w:val="12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ЭП, </w:t>
      </w: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Калинина Антонина Андреевна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0085066Е890452Е58Е764889ССОВ1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05446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9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08.08.2022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01.11.2023</w:t>
      </w:r>
    </w:p>
    <w:sectPr>
      <w:footnotePr>
        <w:pos w:val="pageBottom"/>
        <w:numFmt w:val="decimal"/>
        <w:numStart w:val="1"/>
        <w:numRestart w:val="continuous"/>
        <w15:footnoteColumns w:val="1"/>
      </w:footnotePr>
      <w:type w:val="continuous"/>
      <w:pgSz w:w="11900" w:h="16840"/>
      <w:pgMar w:top="343" w:right="675" w:bottom="1232" w:left="9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10048875</wp:posOffset>
              </wp:positionV>
              <wp:extent cx="5670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5pt;margin-top:791.25pt;width:44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70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4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hyperlink w:anchor="bookmark3" w:tooltip="Current Document">
        <w:bookmarkStart w:id="0" w:name="bookmark0"/>
        <w:r>
          <w:rPr>
            <w:color w:val="000000"/>
            <w:spacing w:val="0"/>
            <w:w w:val="100"/>
            <w:position w:val="0"/>
            <w:shd w:val="clear" w:color="auto" w:fill="auto"/>
            <w:lang w:val="ru-RU" w:eastAsia="ru-RU" w:bidi="ru-RU"/>
          </w:rPr>
          <w:footnoteRef/>
        </w:r>
        <w:r>
          <w:rPr>
            <w:color w:val="000000"/>
            <w:spacing w:val="0"/>
            <w:w w:val="100"/>
            <w:position w:val="0"/>
            <w:shd w:val="clear" w:color="auto" w:fill="auto"/>
            <w:lang w:val="ru-RU" w:eastAsia="ru-RU" w:bidi="ru-RU"/>
          </w:rPr>
          <w:t xml:space="preserve"> </w:t>
        </w:r>
      </w:hyperlink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квартира расположена на последнем этаже, в доме должен быть произведен капитальный ремонт крыши (кровли), включающий участок крыши (кровли) над предлагаемой квартирой, после 01.01.2016 (требование не распространяется на дома, введенные в эксплуатацию после 01.01.2012). Справка из организации, осуществляющей управление многоквартирным домом, о произведенном в доме капитальном ремонте крыши (кровли) должна быть предоставлена исполнителем заказчику до подписания акта приема-передачи.</w:t>
      </w:r>
      <w:bookmarkEnd w:id="0"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Сноска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Друго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">
    <w:name w:val="Сноска"/>
    <w:basedOn w:val="Normal"/>
    <w:link w:val="CharStyle3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Другое"/>
    <w:basedOn w:val="Normal"/>
    <w:link w:val="CharStyle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